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竞价文件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合肥体育产业投资有限公司2024年综合维修物料采购项目，现通过竞价方式择优选择一家服务单位，本次竞价采用有效最低价法中标方式，欢迎具备条件的单位参与。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1.项目名称：2024年综合维修物料采购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2.项目编号：2024TYGSCG21</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3.项目概算：24万元</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4.项目类别：货物类</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ascii="仿宋_GB2312" w:hAnsi="仿宋_GB2312" w:eastAsia="仿宋_GB2312" w:cs="仿宋_GB2312"/>
          <w:sz w:val="32"/>
          <w:szCs w:val="32"/>
        </w:rPr>
      </w:pPr>
      <w:r>
        <w:rPr>
          <w:rFonts w:hint="eastAsia" w:ascii="仿宋_GB2312" w:hAnsi="宋体" w:eastAsia="仿宋_GB2312" w:cs="宋体"/>
          <w:bCs/>
          <w:color w:val="000000"/>
          <w:sz w:val="32"/>
          <w:szCs w:val="32"/>
          <w:lang w:val="en-US" w:eastAsia="zh-CN"/>
        </w:rPr>
        <w:t>6.项目地址：合肥体育中心</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1.具有独立承担民事责任的能力；</w:t>
      </w:r>
    </w:p>
    <w:p>
      <w:pPr>
        <w:spacing w:line="560" w:lineRule="exact"/>
        <w:ind w:firstLine="640"/>
        <w:jc w:val="both"/>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2.公司具有合法有效的营业执照，营业执照经营范围需</w:t>
      </w:r>
      <w:r>
        <w:rPr>
          <w:rFonts w:hint="eastAsia" w:ascii="仿宋_GB2312" w:hAnsi="仿宋_GB2312" w:eastAsia="仿宋_GB2312" w:cs="仿宋_GB2312"/>
          <w:color w:val="000000"/>
          <w:kern w:val="0"/>
          <w:sz w:val="31"/>
          <w:szCs w:val="31"/>
          <w:lang w:val="en-US" w:eastAsia="zh-CN" w:bidi="ar"/>
        </w:rPr>
        <w:t>符合招标采购要求</w:t>
      </w:r>
      <w:r>
        <w:rPr>
          <w:rFonts w:ascii="仿宋_GB2312" w:hAnsi="仿宋_GB2312" w:eastAsia="仿宋_GB2312" w:cs="仿宋_GB2312"/>
          <w:color w:val="000000"/>
          <w:kern w:val="0"/>
          <w:sz w:val="31"/>
          <w:szCs w:val="31"/>
          <w:lang w:val="en-US" w:eastAsia="zh-CN" w:bidi="ar"/>
        </w:rPr>
        <w:t>；</w:t>
      </w:r>
    </w:p>
    <w:p>
      <w:pPr>
        <w:spacing w:line="560" w:lineRule="exact"/>
        <w:ind w:firstLine="640"/>
        <w:jc w:val="both"/>
        <w:rPr>
          <w:rFonts w:hint="default"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3.自2020年7月1日以来（以合同签订时间为准），投标人具有单个合同金额不少于15万元及以上工程维修物料供货业绩；</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4.</w:t>
      </w:r>
      <w:r>
        <w:rPr>
          <w:rFonts w:hint="eastAsia" w:ascii="仿宋_GB2312" w:hAnsi="宋体" w:eastAsia="仿宋_GB2312" w:cs="宋体"/>
          <w:bCs/>
          <w:color w:val="000000"/>
          <w:sz w:val="32"/>
          <w:szCs w:val="32"/>
          <w:lang w:val="en-US" w:eastAsia="zh-CN"/>
        </w:rPr>
        <w:t>本项目不接受联合体投标；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5.投标人存在以下不良信用记录情形之一的，不得推荐为中标候选人，不得确定为中标人：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pStyle w:val="174"/>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Cs/>
          <w:color w:val="000000" w:themeColor="text1"/>
          <w:sz w:val="32"/>
          <w:szCs w:val="32"/>
          <w14:textFill>
            <w14:solidFill>
              <w14:schemeClr w14:val="tx1"/>
            </w14:solidFill>
          </w14:textFill>
        </w:rPr>
        <w:t>提供对合肥体育中心</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2024年度综合维修物料采购服务</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2.中标人根据使用需求分批次送货，每次送货需提供供货清单，并由工程技术部、场馆部和仓库共同签字确认入库保管。</w:t>
      </w:r>
    </w:p>
    <w:p>
      <w:pPr>
        <w:pStyle w:val="174"/>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Cs/>
          <w:color w:val="000000" w:themeColor="text1"/>
          <w:kern w:val="2"/>
          <w:sz w:val="32"/>
          <w:szCs w:val="32"/>
          <w:lang w:val="en-US" w:eastAsia="zh-CN" w:bidi="ar-SA"/>
          <w14:textFill>
            <w14:solidFill>
              <w14:schemeClr w14:val="tx1"/>
            </w14:solidFill>
          </w14:textFill>
        </w:rPr>
        <w:t>3.提供的材料需有产品合格证，保证材料质量。</w:t>
      </w:r>
    </w:p>
    <w:p>
      <w:pPr>
        <w:pStyle w:val="174"/>
        <w:keepNext w:val="0"/>
        <w:keepLines w:val="0"/>
        <w:pageBreakBefore w:val="0"/>
        <w:numPr>
          <w:ilvl w:val="0"/>
          <w:numId w:val="0"/>
        </w:numPr>
        <w:kinsoku/>
        <w:wordWrap/>
        <w:overflowPunct/>
        <w:topLinePunct w:val="0"/>
        <w:autoSpaceDE/>
        <w:autoSpaceDN/>
        <w:bidi w:val="0"/>
        <w:adjustRightInd/>
        <w:snapToGrid/>
        <w:spacing w:line="540" w:lineRule="exact"/>
        <w:ind w:firstLine="620" w:firstLineChars="200"/>
        <w:textAlignment w:val="auto"/>
        <w:rPr>
          <w:rFonts w:hint="default"/>
          <w:lang w:val="en-US" w:eastAsia="zh-CN"/>
        </w:rPr>
      </w:pPr>
      <w:r>
        <w:rPr>
          <w:rFonts w:hint="eastAsia" w:ascii="仿宋_GB2312" w:hAnsi="宋体" w:eastAsia="仿宋_GB2312" w:cs="仿宋_GB2312"/>
          <w:color w:val="000000"/>
          <w:kern w:val="0"/>
          <w:sz w:val="31"/>
          <w:szCs w:val="31"/>
          <w:lang w:val="en-US" w:eastAsia="zh-CN" w:bidi="ar"/>
        </w:rPr>
        <w:t>4.</w:t>
      </w:r>
      <w:r>
        <w:rPr>
          <w:rFonts w:hint="eastAsia" w:ascii="仿宋_GB2312" w:hAnsi="仿宋_GB2312" w:eastAsia="仿宋_GB2312" w:cs="仿宋_GB2312"/>
          <w:b w:val="0"/>
          <w:bCs w:val="0"/>
          <w:sz w:val="32"/>
          <w:szCs w:val="32"/>
          <w:lang w:val="en-US" w:eastAsia="zh-CN"/>
        </w:rPr>
        <w:t>服务期限：2024年7月-2025年6月</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2024年7月31日</w:t>
      </w:r>
      <w:r>
        <w:rPr>
          <w:rFonts w:hint="eastAsia" w:ascii="仿宋_GB2312" w:hAnsi="宋体" w:eastAsia="仿宋_GB2312" w:cs="宋体"/>
          <w:bCs/>
          <w:color w:val="000000"/>
          <w:sz w:val="32"/>
          <w:szCs w:val="32"/>
          <w:lang w:val="en-US" w:eastAsia="zh-CN"/>
        </w:rPr>
        <w:t>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lang w:val="en-US" w:eastAsia="zh-CN"/>
        </w:rPr>
        <w:t>2024年度综合维修物料采购费用为不超过人民币：</w:t>
      </w:r>
      <w:r>
        <w:rPr>
          <w:rFonts w:hint="eastAsia" w:ascii="仿宋_GB2312" w:hAnsi="仿宋_GB2312" w:eastAsia="仿宋_GB2312" w:cs="仿宋_GB2312"/>
          <w:b/>
          <w:bCs/>
          <w:color w:val="auto"/>
          <w:sz w:val="32"/>
          <w:szCs w:val="32"/>
          <w:lang w:val="en-US" w:eastAsia="zh-CN"/>
        </w:rPr>
        <w:t>24万元</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sz w:val="32"/>
          <w:szCs w:val="32"/>
          <w:lang w:val="en-US" w:eastAsia="zh-CN"/>
        </w:rPr>
        <w:t>若中标人实际送货金额低于中标价则以送货金额据实结算；若中标人送货金额高于中标价，则按照中标价进行结算，且全年费用不超过24万元。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ind w:firstLine="640" w:firstLineChars="200"/>
        <w:jc w:val="left"/>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技术联系人：李工18305513725</w:t>
      </w:r>
    </w:p>
    <w:p>
      <w:pPr>
        <w:widowControl/>
        <w:spacing w:line="360" w:lineRule="auto"/>
        <w:ind w:firstLine="640" w:firstLineChars="200"/>
        <w:jc w:val="left"/>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w:t>
      </w:r>
      <w:r>
        <w:rPr>
          <w:rFonts w:hint="eastAsia" w:ascii="仿宋_GB2312" w:hAnsi="宋体" w:eastAsia="仿宋_GB2312" w:cs="宋体"/>
          <w:bCs/>
          <w:color w:val="000000"/>
          <w:sz w:val="32"/>
          <w:szCs w:val="32"/>
          <w:lang w:val="en-US" w:eastAsia="zh-CN"/>
        </w:rPr>
        <w:t xml:space="preserve"> 2024年7月29日</w:t>
      </w:r>
    </w:p>
    <w:p>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pPr>
        <w:pStyle w:val="6"/>
        <w:rPr>
          <w:rFonts w:hint="default"/>
          <w:lang w:val="en-US" w:eastAsia="zh-CN"/>
        </w:rPr>
      </w:pPr>
      <w:bookmarkStart w:id="0" w:name="_GoBack"/>
      <w:bookmarkEnd w:id="0"/>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default" w:ascii="仿宋_GB2312" w:hAnsi="宋体" w:eastAsia="仿宋_GB2312" w:cs="宋体"/>
          <w:b w:val="0"/>
          <w:bCs/>
          <w:color w:val="000000"/>
          <w:kern w:val="2"/>
          <w:sz w:val="32"/>
          <w:szCs w:val="32"/>
          <w:lang w:val="en-US" w:eastAsia="zh-CN" w:bidi="ar-SA"/>
        </w:rPr>
      </w:pPr>
    </w:p>
    <w:p>
      <w:pPr>
        <w:pStyle w:val="2"/>
        <w:ind w:left="0" w:leftChars="0" w:firstLine="0" w:firstLineChars="0"/>
        <w:jc w:val="left"/>
        <w:rPr>
          <w:rFonts w:hint="eastAsia" w:ascii="仿宋_GB2312" w:hAnsi="宋体" w:eastAsia="仿宋_GB2312" w:cs="宋体"/>
          <w:b/>
          <w:bCs w:val="0"/>
          <w:color w:val="000000"/>
          <w:kern w:val="2"/>
          <w:sz w:val="32"/>
          <w:szCs w:val="32"/>
          <w:lang w:val="en-US" w:eastAsia="zh-CN" w:bidi="ar-SA"/>
        </w:rPr>
      </w:pPr>
      <w:r>
        <w:rPr>
          <w:rFonts w:hint="eastAsia" w:ascii="仿宋_GB2312" w:hAnsi="宋体" w:eastAsia="仿宋_GB2312" w:cs="宋体"/>
          <w:b/>
          <w:bCs w:val="0"/>
          <w:color w:val="000000"/>
          <w:kern w:val="2"/>
          <w:sz w:val="32"/>
          <w:szCs w:val="32"/>
          <w:lang w:val="en-US" w:eastAsia="zh-CN" w:bidi="ar-SA"/>
        </w:rPr>
        <w:t>附件</w:t>
      </w:r>
    </w:p>
    <w:tbl>
      <w:tblPr>
        <w:tblStyle w:val="12"/>
        <w:tblpPr w:leftFromText="180" w:rightFromText="180" w:vertAnchor="text" w:horzAnchor="page" w:tblpX="727" w:tblpY="494"/>
        <w:tblOverlap w:val="never"/>
        <w:tblW w:w="104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8"/>
        <w:gridCol w:w="1219"/>
        <w:gridCol w:w="2916"/>
        <w:gridCol w:w="725"/>
        <w:gridCol w:w="725"/>
        <w:gridCol w:w="966"/>
        <w:gridCol w:w="985"/>
        <w:gridCol w:w="22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1048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658" w:type="dxa"/>
            <w:tcBorders>
              <w:top w:val="nil"/>
              <w:left w:val="single" w:color="000000" w:sz="8"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219"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物料名称</w:t>
            </w:r>
          </w:p>
        </w:tc>
        <w:tc>
          <w:tcPr>
            <w:tcW w:w="2916"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72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25"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66" w:type="dxa"/>
            <w:tcBorders>
              <w:top w:val="nil"/>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985"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c>
          <w:tcPr>
            <w:tcW w:w="2291"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德力西感应电笔</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三脚插头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  16A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三相四线插头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  16A 440v</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三相四线插座</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  16A 440v</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德力西、公牛、正泰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单开关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双开关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三开关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电工胶带</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LED嵌入式射灯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  41093 6500K 日光灯色</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公牛三眼插头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LED平板灯（扣板式）</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60*60</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高压绝缘手套</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双安、易佳安电、盟泰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明盒（明装接线盒）</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 86A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3*2.5mm</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3*4mm</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单芯电线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2.5mm2</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国标，红色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单芯电线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2.5mm2</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国标，黄色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单芯电线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2.5mm2</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国标，绿色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4*6+1*2.5mm2</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2*1.5mm2</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五眼插板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五眼插板（带开关）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三眼插板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正泰 16A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时控开关【德力西】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KG316T/10A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  32A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德力西、公牛、正泰，带漏保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  25A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德力西、公牛、正泰，带漏保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  40A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德力西、公牛、正泰，带漏保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1P16A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4p/40A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PVC过线槽</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PVC/方形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PVC过线槽</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PVC/圆形</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泛光灯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亚明、飞利浦、欧司朗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泛光灯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亚明、飞利浦、欧司朗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直管金卤灯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亚明、飞利浦、欧司朗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LED螺口灯泡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30w/50w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LED螺口灯泡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断路器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4P/60A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德力西、公牛、正泰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换气扇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300mm12寸</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正禾，海尔、美的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LED面板灯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5寸/15W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超薄型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LED面板灯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6寸/18W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超薄型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LED面板灯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8寸/22W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超薄型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T5-LED自启灯管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 1.2m,16W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飞利浦、欧普、雷士、含灯脚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T8-LED自启灯管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 1.2m，16W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飞利浦、欧普、雷士、含灯脚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T5-LED自启灯管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飞利浦 06m,8W</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飞利浦、欧普、雷士、含灯脚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RO15 ☬10*38 500v 6A</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上海沪工、明威、立熔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多用途泛光灯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RVP350</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PVC电管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带25关卡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绑扎带</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20/30/40厘米</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各5袋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路灯灯泡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 6000K 4200lm 196mA 220-240V ac 50/60Hz 15D</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飞利浦、欧普、雷士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裁纸刀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LED吸顶灯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 φ175x25mm</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海洱诺 飞利浦、欧普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钻石三代系列LED筒灯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6寸 20W Φ165mm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白色 佛山照明 飞利浦、欧普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219"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冲击钻头</w:t>
            </w:r>
          </w:p>
        </w:tc>
        <w:tc>
          <w:tcPr>
            <w:tcW w:w="291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打瓷砖钻头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打瓷砖钻头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不锈钢麻花钻头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方大王、绿林、汉斯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砂纸抛光片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砂轮切割片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砂轮切割片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金属切割片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25个/盒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大理石切割片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乳胶漆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立邦、菱湖、多乐士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耐水砂纸</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NO:600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小滚筒</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10cm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滚筒</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美工刀片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美工刀架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毛刷</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毛刷</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毛刷</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油漆刷</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油漆刷</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 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橡胶手套</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粤龙、快乐娃、同富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20#或40#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Kg</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堵漏王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东方雨虹、牛元、立邦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防水涂料</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建秀、东方雨虹、嘉宝莉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 海螺</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海螺、通用型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云石胶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三和、大力士、雷神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油漆稀释剂</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2.5公斤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除锈剂</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450L</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清洗剂</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450L</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纱手套</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洗衣粉</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500g/袋</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雕牌、白猫、汰渍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洗洁精</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亿民、白猫、汰渍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液态密封胶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三和、东方雨虹、千里马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三和结构胶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透明</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三和、东方雨虹、千里马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三和结构胶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三和、东方雨虹、千里马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耐候胶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三和、东方雨虹、千里马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三和、东方雨虹、千里马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三角阀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埃美柯、中宇、九牧王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三角阀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JD-410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埃美柯、中宇、九牧王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浮球阀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截止阀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埃美柯、中宇、九牧王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铜截止阀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埃美柯、中宇、九牧王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止回阀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循环水止回阀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 DN150/21.5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蝶阀D373H-16</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单流阀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￠200*24.5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浮球开关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5米，通用型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旋翼干式数字水表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DN15/XLS-E</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铜头，通用型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橡胶软接头【不锈钢】</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橡胶软接头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橡胶软接头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不锈钢橡胶接头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Φ160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根据现场图片，满足现场使用需求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外丝直接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铜外丝直接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上水软管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下水软管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不锈钢编织进水软管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4分*60cm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DN15加长款</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按压式水龙头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面盆下水器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U-PVS直角弯头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U-PVS外丝直接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U-PVS内丝直接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U-PVS内丝直接</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U-PVC外丝接头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镀锌堵头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金属管卡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管道抱箍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抱箍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DN25*6m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不锈钢地漏盖</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15CM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不锈钢地漏</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100*100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地漏盖</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8CM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PVC-地漏盖</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15CM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eastAsia="宋体" w:cs="Arial"/>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普通门锁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执手锁</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防火门锁芯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防火门锁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地弹门锁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玻璃门锁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抽屉锁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自攻螺丝</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螺丝螺帽</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螺帽垫片弹垫</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M6</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螺杆螺帽垫片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螺杆螺帽垫片</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六角螺栓</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铰链</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综合一批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黑色自攻螺丝</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3.5mm*25mm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不锈钢螺丝</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不锈钢铰链</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4寸（综合一批）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不锈钢角码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（综合一批）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不锈钢焊条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不锈钢插销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700mm／35*35*29</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不锈钢表弯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玻璃门配件</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综合一批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22＃扎丝</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万象轮</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向荣6寸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铁丝</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磁吸工作灯</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10000mah</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3</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智博雅/10000mah/双磁铁+双挂钩/续航10-200小时/五档泛光灯功能/充电宝功能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电动扳手</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175"/>
                <w:rFonts w:eastAsia="宋体"/>
                <w:lang w:val="en-US" w:eastAsia="zh-CN" w:bidi="ar"/>
              </w:rPr>
              <w:t>10-27mm</w:t>
            </w:r>
            <w:r>
              <w:rPr>
                <w:rFonts w:hint="eastAsia" w:ascii="宋体" w:hAnsi="宋体" w:eastAsia="宋体" w:cs="宋体"/>
                <w:i w:val="0"/>
                <w:iCs w:val="0"/>
                <w:color w:val="000000"/>
                <w:kern w:val="0"/>
                <w:sz w:val="22"/>
                <w:szCs w:val="22"/>
                <w:u w:val="none"/>
                <w:lang w:val="en-US" w:eastAsia="zh-CN" w:bidi="ar"/>
              </w:rPr>
              <w:t>（加长套筒）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东成DCPB1288H2K(2电一充，20V-6.0AH*2,800W,最大拆卸扭矩1700N.M;含套筒）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钢卷尺</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Style w:val="175"/>
                <w:rFonts w:eastAsia="宋体"/>
                <w:lang w:val="en-US" w:eastAsia="zh-CN" w:bidi="ar"/>
              </w:rPr>
              <w:t>5</w:t>
            </w: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得力、3M、汉斯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钢卷尺</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得力、3M、汉斯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钢锯条</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管钳</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w:t>
            </w:r>
          </w:p>
        </w:tc>
        <w:tc>
          <w:tcPr>
            <w:tcW w:w="12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充电电池</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神火</w:t>
            </w:r>
            <w:r>
              <w:rPr>
                <w:rStyle w:val="175"/>
                <w:rFonts w:eastAsia="宋体"/>
                <w:lang w:val="en-US" w:eastAsia="zh-CN" w:bidi="ar"/>
              </w:rPr>
              <w:t>5200mAh</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3</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神火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1219"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水平仪</w:t>
            </w:r>
          </w:p>
        </w:tc>
        <w:tc>
          <w:tcPr>
            <w:tcW w:w="291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16线</w:t>
            </w:r>
          </w:p>
        </w:tc>
        <w:tc>
          <w:tcPr>
            <w:tcW w:w="7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德力西、亚固、东成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草坪喷头</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I-25专用型</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Hunter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21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六类网线</w:t>
            </w:r>
          </w:p>
        </w:tc>
        <w:tc>
          <w:tcPr>
            <w:tcW w:w="291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CAT6</w:t>
            </w:r>
          </w:p>
        </w:tc>
        <w:tc>
          <w:tcPr>
            <w:tcW w:w="7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966"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爱谱华顿、山泽、绿联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软护套信号线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RVV2*1.0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nil"/>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爱谱华顿、山泽、绿联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POE电源适配器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48V0.5A 线插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小耳朵，海康、TP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POE电源适配器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24V1A 线插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小耳朵，海康、TP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POE电源适配器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12V2A 线插</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小耳朵，海康、TP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5号</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南孚、超霸、双鹿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9V方块</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南孚、超霸、双鹿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7号</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南孚、超霸、双鹿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12V23A</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南孚、超霸、双鹿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汇聚交换机</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S5735S-H24S4XC</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华为、H3C、锐捷，包含安装调试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24口交换机</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S5735S-S24T4S-XA</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华为、H3C、锐捷，包含安装调试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LC光模块</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MXP-243S-H3C</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1250Mbps-10Km-1310nm-SM-SFP</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华为、H3C、锐捷，包含安装调试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PDU</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8口、过载保护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公牛、得力、绿联，包含安装调试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LC-FC跳线</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单模双芯、3M</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绿联、山泽、海康，包含安装调试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电源适配器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5V0.4A，光纤收发器电源</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TP-LINK、海康、小儿耳朵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强光手电</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L6-R5-8W+5200毫安电池(双电池）</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神火、天火、飞利浦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网络打线刀</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工程级NW252</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绿联、山泽、普联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六类千兆网络模块</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CAT6</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绿联、山泽、普联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六角燕尾螺丝钉</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4.8*30</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智能数字万用表</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UT123D</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优利德、正泰、得力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5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移动音响</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ST-1509 15寸</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6" w:type="dxa"/>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先科（SAST）、漫步者、索爱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7209" w:type="dxa"/>
            <w:gridSpan w:val="6"/>
            <w:tcBorders>
              <w:top w:val="single" w:color="000000" w:sz="4" w:space="0"/>
              <w:left w:val="single" w:color="000000" w:sz="8"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总计（元）</w:t>
            </w:r>
          </w:p>
        </w:tc>
        <w:tc>
          <w:tcPr>
            <w:tcW w:w="98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0485" w:type="dxa"/>
            <w:gridSpan w:val="8"/>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1、请开具增值税专用发票，并标注开票税率（ ）%；</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2、报价包含但不限于运输、安装、质保等费用，质保期至少12个月；</w:t>
            </w:r>
          </w:p>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3、技术参数要求请联系李工18305513725。                                                                                                                                                         报价单位（盖章）：                        联系方式：</w:t>
            </w:r>
          </w:p>
        </w:tc>
      </w:tr>
    </w:tbl>
    <w:p>
      <w:pPr>
        <w:pStyle w:val="2"/>
        <w:ind w:left="0" w:leftChars="0" w:firstLine="0" w:firstLineChars="0"/>
        <w:jc w:val="left"/>
        <w:rPr>
          <w:rFonts w:hint="default" w:ascii="仿宋_GB2312" w:hAnsi="宋体" w:eastAsia="仿宋_GB2312" w:cs="宋体"/>
          <w:b/>
          <w:bCs w:val="0"/>
          <w:color w:val="000000"/>
          <w:kern w:val="2"/>
          <w:sz w:val="32"/>
          <w:szCs w:val="32"/>
          <w:lang w:val="en-US" w:eastAsia="zh-CN" w:bidi="ar-SA"/>
        </w:rPr>
        <w:sectPr>
          <w:pgSz w:w="11906" w:h="16838"/>
          <w:pgMar w:top="1440" w:right="1800" w:bottom="1440" w:left="1800" w:header="851" w:footer="992" w:gutter="0"/>
          <w:cols w:space="425" w:num="1"/>
          <w:docGrid w:type="lines" w:linePitch="312" w:charSpace="0"/>
        </w:sectPr>
      </w:pPr>
    </w:p>
    <w:p>
      <w:pPr>
        <w:rPr>
          <w:rFonts w:hint="default"/>
          <w:lang w:val="en-US" w:eastAsia="zh-CN"/>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CC35CF"/>
    <w:rsid w:val="022E6FD2"/>
    <w:rsid w:val="029C4700"/>
    <w:rsid w:val="031D0192"/>
    <w:rsid w:val="03E17EB2"/>
    <w:rsid w:val="043859E9"/>
    <w:rsid w:val="050A080F"/>
    <w:rsid w:val="05364F30"/>
    <w:rsid w:val="06687DD8"/>
    <w:rsid w:val="07296214"/>
    <w:rsid w:val="078E7D76"/>
    <w:rsid w:val="07C6669D"/>
    <w:rsid w:val="08B50A30"/>
    <w:rsid w:val="0BC913D8"/>
    <w:rsid w:val="0C297D00"/>
    <w:rsid w:val="0CC775E0"/>
    <w:rsid w:val="0CF14001"/>
    <w:rsid w:val="0ED62150"/>
    <w:rsid w:val="0F5946ED"/>
    <w:rsid w:val="0FD146C5"/>
    <w:rsid w:val="0FED2F8F"/>
    <w:rsid w:val="1017327F"/>
    <w:rsid w:val="11231F1F"/>
    <w:rsid w:val="113A4E32"/>
    <w:rsid w:val="115E0C9F"/>
    <w:rsid w:val="116A39C2"/>
    <w:rsid w:val="12CD386A"/>
    <w:rsid w:val="141649B0"/>
    <w:rsid w:val="142671CA"/>
    <w:rsid w:val="143622C9"/>
    <w:rsid w:val="14AD601D"/>
    <w:rsid w:val="15792DB8"/>
    <w:rsid w:val="17A56C6F"/>
    <w:rsid w:val="197F20CD"/>
    <w:rsid w:val="1A4C776A"/>
    <w:rsid w:val="1AB4549F"/>
    <w:rsid w:val="1B684130"/>
    <w:rsid w:val="1B732509"/>
    <w:rsid w:val="1C387EE3"/>
    <w:rsid w:val="1C743C0E"/>
    <w:rsid w:val="1E994128"/>
    <w:rsid w:val="1F106FB8"/>
    <w:rsid w:val="1F3F789D"/>
    <w:rsid w:val="1FC92B06"/>
    <w:rsid w:val="210B0560"/>
    <w:rsid w:val="22132138"/>
    <w:rsid w:val="224602F1"/>
    <w:rsid w:val="225136E8"/>
    <w:rsid w:val="22FC1C17"/>
    <w:rsid w:val="23052BAC"/>
    <w:rsid w:val="24303B26"/>
    <w:rsid w:val="25BC425B"/>
    <w:rsid w:val="288434E9"/>
    <w:rsid w:val="289B707E"/>
    <w:rsid w:val="29303EC2"/>
    <w:rsid w:val="29AC2209"/>
    <w:rsid w:val="29AE18A7"/>
    <w:rsid w:val="2A755803"/>
    <w:rsid w:val="2BDC6CE0"/>
    <w:rsid w:val="2C0204B3"/>
    <w:rsid w:val="2FCE6D7B"/>
    <w:rsid w:val="313F44D5"/>
    <w:rsid w:val="315D146E"/>
    <w:rsid w:val="317C117D"/>
    <w:rsid w:val="32565317"/>
    <w:rsid w:val="32D6171D"/>
    <w:rsid w:val="34FA73CA"/>
    <w:rsid w:val="38131DD5"/>
    <w:rsid w:val="38637D01"/>
    <w:rsid w:val="392C4C45"/>
    <w:rsid w:val="394972BB"/>
    <w:rsid w:val="39FC040D"/>
    <w:rsid w:val="3AC436E5"/>
    <w:rsid w:val="3B274932"/>
    <w:rsid w:val="3BBB0A19"/>
    <w:rsid w:val="3CC05FFD"/>
    <w:rsid w:val="3CCD108D"/>
    <w:rsid w:val="3D4B0B2C"/>
    <w:rsid w:val="3F7E7ECC"/>
    <w:rsid w:val="3FF50BC7"/>
    <w:rsid w:val="41080F42"/>
    <w:rsid w:val="415F0D99"/>
    <w:rsid w:val="4208598F"/>
    <w:rsid w:val="43612911"/>
    <w:rsid w:val="469D1BE4"/>
    <w:rsid w:val="46D94EA1"/>
    <w:rsid w:val="47864368"/>
    <w:rsid w:val="47CF04EC"/>
    <w:rsid w:val="48877A3B"/>
    <w:rsid w:val="48B22A97"/>
    <w:rsid w:val="4A5A72B2"/>
    <w:rsid w:val="4B885FB2"/>
    <w:rsid w:val="4BCF5981"/>
    <w:rsid w:val="4C715829"/>
    <w:rsid w:val="4DA11074"/>
    <w:rsid w:val="4EB72EF5"/>
    <w:rsid w:val="4EDB3281"/>
    <w:rsid w:val="507F72BD"/>
    <w:rsid w:val="51025EB1"/>
    <w:rsid w:val="52302403"/>
    <w:rsid w:val="53937294"/>
    <w:rsid w:val="53EC2A3F"/>
    <w:rsid w:val="541D74A6"/>
    <w:rsid w:val="54581FF8"/>
    <w:rsid w:val="54DA0EF3"/>
    <w:rsid w:val="54FE7B86"/>
    <w:rsid w:val="55217F29"/>
    <w:rsid w:val="552E01B7"/>
    <w:rsid w:val="560A13AC"/>
    <w:rsid w:val="56DC6A21"/>
    <w:rsid w:val="59183D6D"/>
    <w:rsid w:val="5A9B27BD"/>
    <w:rsid w:val="5AA1540C"/>
    <w:rsid w:val="5BB972C3"/>
    <w:rsid w:val="5C427D95"/>
    <w:rsid w:val="5CB36BF9"/>
    <w:rsid w:val="5CFA3A2A"/>
    <w:rsid w:val="5E253C4D"/>
    <w:rsid w:val="5EA3628A"/>
    <w:rsid w:val="5F8447EE"/>
    <w:rsid w:val="61081CF4"/>
    <w:rsid w:val="61454D83"/>
    <w:rsid w:val="62226353"/>
    <w:rsid w:val="62B53F00"/>
    <w:rsid w:val="634014F0"/>
    <w:rsid w:val="639808F7"/>
    <w:rsid w:val="64E40633"/>
    <w:rsid w:val="64E705DF"/>
    <w:rsid w:val="64EA7F01"/>
    <w:rsid w:val="6543001E"/>
    <w:rsid w:val="66036D61"/>
    <w:rsid w:val="667E0075"/>
    <w:rsid w:val="66C535CD"/>
    <w:rsid w:val="66C5386F"/>
    <w:rsid w:val="66DE0D17"/>
    <w:rsid w:val="68C96BD9"/>
    <w:rsid w:val="6B975FD0"/>
    <w:rsid w:val="6C173362"/>
    <w:rsid w:val="6C6A2B47"/>
    <w:rsid w:val="6EBA663C"/>
    <w:rsid w:val="6EFE77F2"/>
    <w:rsid w:val="6FAE27B9"/>
    <w:rsid w:val="70C63CA2"/>
    <w:rsid w:val="72267F78"/>
    <w:rsid w:val="749B0247"/>
    <w:rsid w:val="759A04FF"/>
    <w:rsid w:val="759D42A7"/>
    <w:rsid w:val="766B0078"/>
    <w:rsid w:val="76A567E6"/>
    <w:rsid w:val="76C764FE"/>
    <w:rsid w:val="76E75C21"/>
    <w:rsid w:val="77DC7107"/>
    <w:rsid w:val="78073305"/>
    <w:rsid w:val="78534B85"/>
    <w:rsid w:val="78AC10B2"/>
    <w:rsid w:val="79A30980"/>
    <w:rsid w:val="7AA37E55"/>
    <w:rsid w:val="7B63573C"/>
    <w:rsid w:val="7C4530D7"/>
    <w:rsid w:val="7E23340C"/>
    <w:rsid w:val="7F5D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6">
    <w:name w:val="heading 3"/>
    <w:basedOn w:val="7"/>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rPr>
      <w:rFonts w:ascii="Times New Roman" w:eastAsia="宋体"/>
    </w:rPr>
  </w:style>
  <w:style w:type="paragraph" w:styleId="3">
    <w:name w:val="Body Text Indent"/>
    <w:basedOn w:val="1"/>
    <w:next w:val="4"/>
    <w:autoRedefine/>
    <w:unhideWhenUsed/>
    <w:qFormat/>
    <w:uiPriority w:val="99"/>
    <w:pPr>
      <w:spacing w:after="120"/>
      <w:ind w:left="420" w:leftChars="200"/>
    </w:pPr>
  </w:style>
  <w:style w:type="paragraph" w:styleId="4">
    <w:name w:val="envelope return"/>
    <w:basedOn w:val="1"/>
    <w:autoRedefine/>
    <w:unhideWhenUsed/>
    <w:qFormat/>
    <w:uiPriority w:val="99"/>
    <w:pPr>
      <w:snapToGrid w:val="0"/>
    </w:pPr>
    <w:rPr>
      <w:rFonts w:ascii="Arial" w:hAnsi="Arial"/>
    </w:rPr>
  </w:style>
  <w:style w:type="paragraph" w:styleId="7">
    <w:name w:val="toa heading"/>
    <w:basedOn w:val="1"/>
    <w:next w:val="1"/>
    <w:autoRedefine/>
    <w:qFormat/>
    <w:uiPriority w:val="0"/>
    <w:pPr>
      <w:spacing w:before="120"/>
    </w:pPr>
    <w:rPr>
      <w:rFonts w:ascii="Arial" w:hAnsi="Arial"/>
      <w:sz w:val="24"/>
    </w:rPr>
  </w:style>
  <w:style w:type="paragraph" w:styleId="8">
    <w:name w:val="Normal Indent"/>
    <w:basedOn w:val="1"/>
    <w:next w:val="1"/>
    <w:autoRedefine/>
    <w:unhideWhenUsed/>
    <w:qFormat/>
    <w:uiPriority w:val="99"/>
    <w:pPr>
      <w:ind w:firstLine="420" w:firstLineChars="200"/>
    </w:pPr>
  </w:style>
  <w:style w:type="paragraph" w:styleId="9">
    <w:name w:val="annotation text"/>
    <w:basedOn w:val="1"/>
    <w:autoRedefine/>
    <w:qFormat/>
    <w:uiPriority w:val="0"/>
    <w:pPr>
      <w:jc w:val="left"/>
    </w:pPr>
  </w:style>
  <w:style w:type="paragraph" w:styleId="10">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 w:type="character" w:customStyle="1" w:styleId="175">
    <w:name w:val="font101"/>
    <w:basedOn w:val="14"/>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4160</Words>
  <Characters>5536</Characters>
  <Lines>3</Lines>
  <Paragraphs>1</Paragraphs>
  <TotalTime>15</TotalTime>
  <ScaleCrop>false</ScaleCrop>
  <LinksUpToDate>false</LinksUpToDate>
  <CharactersWithSpaces>5786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2024-07-29T01:41:50Z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8D8CB62007574CD9917850C9D283414F_13</vt:lpwstr>
  </property>
</Properties>
</file>