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ascii="宋体" w:hAnsi="宋体" w:eastAsia="宋体"/>
          <w:sz w:val="28"/>
          <w:lang w:eastAsia="zh-CN"/>
        </w:rPr>
        <w:drawing>
          <wp:inline distT="0" distB="0" distL="114300" distR="114300">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7"/>
                    <a:stretch>
                      <a:fillRect/>
                    </a:stretch>
                  </pic:blipFill>
                  <pic:spPr>
                    <a:xfrm>
                      <a:off x="0" y="0"/>
                      <a:ext cx="1814195" cy="1104900"/>
                    </a:xfrm>
                    <a:prstGeom prst="rect">
                      <a:avLst/>
                    </a:prstGeom>
                    <a:noFill/>
                    <a:ln>
                      <a:noFill/>
                    </a:ln>
                  </pic:spPr>
                </pic:pic>
              </a:graphicData>
            </a:graphic>
          </wp:inline>
        </w:drawing>
      </w: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spacing w:val="20"/>
          <w:kern w:val="0"/>
          <w:sz w:val="32"/>
          <w:szCs w:val="32"/>
          <w:u w:val="single"/>
        </w:rPr>
        <w:t>合肥</w:t>
      </w:r>
      <w:r>
        <w:rPr>
          <w:rFonts w:hint="eastAsia" w:ascii="Times New Roman" w:hAnsi="Times New Roman" w:cs="Times New Roman"/>
          <w:b/>
          <w:spacing w:val="20"/>
          <w:kern w:val="0"/>
          <w:sz w:val="32"/>
          <w:szCs w:val="32"/>
          <w:u w:val="single"/>
          <w:lang w:eastAsia="zh-CN"/>
        </w:rPr>
        <w:t>滨湖</w:t>
      </w:r>
      <w:r>
        <w:rPr>
          <w:rFonts w:hint="eastAsia" w:ascii="Times New Roman" w:hAnsi="Times New Roman" w:cs="Times New Roman" w:eastAsiaTheme="minorEastAsia"/>
          <w:b/>
          <w:spacing w:val="20"/>
          <w:kern w:val="0"/>
          <w:sz w:val="32"/>
          <w:szCs w:val="32"/>
          <w:u w:val="single"/>
        </w:rPr>
        <w:t>会展中心闲置车辆评估项目</w:t>
      </w:r>
    </w:p>
    <w:p>
      <w:pPr>
        <w:tabs>
          <w:tab w:val="left" w:pos="2410"/>
        </w:tabs>
        <w:autoSpaceDE w:val="0"/>
        <w:autoSpaceDN w:val="0"/>
        <w:adjustRightInd w:val="0"/>
        <w:snapToGrid w:val="0"/>
        <w:spacing w:line="360" w:lineRule="auto"/>
        <w:outlineLvl w:val="0"/>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single"/>
        </w:rPr>
        <w:t>2024ZWHZXJ000</w:t>
      </w:r>
      <w:r>
        <w:rPr>
          <w:rFonts w:hint="eastAsia" w:ascii="Times New Roman" w:hAnsi="Times New Roman" w:cs="Times New Roman"/>
          <w:b/>
          <w:spacing w:val="20"/>
          <w:kern w:val="0"/>
          <w:sz w:val="32"/>
          <w:szCs w:val="32"/>
          <w:u w:val="single"/>
          <w:lang w:val="en-US" w:eastAsia="zh-CN"/>
        </w:rPr>
        <w:t>23</w:t>
      </w:r>
      <w:r>
        <w:rPr>
          <w:rFonts w:hint="eastAsia" w:ascii="Times New Roman" w:hAnsi="Times New Roman" w:cs="Times New Roman" w:eastAsiaTheme="minorEastAsia"/>
          <w:b/>
          <w:spacing w:val="20"/>
          <w:kern w:val="0"/>
          <w:sz w:val="32"/>
          <w:szCs w:val="32"/>
          <w:u w:val="single"/>
        </w:rPr>
        <w:t>号</w:t>
      </w:r>
    </w:p>
    <w:p>
      <w:pPr>
        <w:tabs>
          <w:tab w:val="left" w:pos="2410"/>
        </w:tabs>
        <w:autoSpaceDE w:val="0"/>
        <w:autoSpaceDN w:val="0"/>
        <w:adjustRightInd w:val="0"/>
        <w:snapToGrid w:val="0"/>
        <w:spacing w:line="360" w:lineRule="auto"/>
        <w:outlineLvl w:val="0"/>
        <w:rPr>
          <w:rFonts w:hint="eastAsia" w:ascii="Times New Roman" w:hAnsi="Times New Roman" w:cs="Times New Roman" w:eastAsiaTheme="minorEastAsia"/>
          <w:b/>
          <w:spacing w:val="20"/>
          <w:kern w:val="0"/>
          <w:sz w:val="32"/>
          <w:szCs w:val="32"/>
          <w:lang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eastAsia="zh-CN"/>
        </w:rPr>
        <w:t>合肥政文国际会展管理有限公司</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10</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9"/>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9"/>
        <w:tabs>
          <w:tab w:val="right" w:leader="dot" w:pos="8279"/>
        </w:tabs>
        <w:rPr>
          <w:rFonts w:ascii="Times New Roman" w:hAnsi="Times New Roman" w:cs="Times New Roman"/>
        </w:rPr>
      </w:pP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9"/>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pPr>
        <w:spacing w:line="360" w:lineRule="auto"/>
        <w:jc w:val="center"/>
        <w:outlineLvl w:val="0"/>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pPr>
        <w:spacing w:line="360" w:lineRule="auto"/>
        <w:ind w:firstLine="435"/>
        <w:rPr>
          <w:rFonts w:ascii="Times New Roman" w:hAnsi="Times New Roman" w:cs="Times New Roman" w:eastAsiaTheme="minorEastAsia"/>
          <w:szCs w:val="21"/>
        </w:rPr>
      </w:pPr>
      <w:r>
        <w:rPr>
          <w:rFonts w:hint="eastAsia" w:ascii="Times New Roman" w:hAnsi="Times New Roman" w:cs="Times New Roman"/>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u w:val="single"/>
        </w:rPr>
        <w:t xml:space="preserve"> </w:t>
      </w:r>
      <w:r>
        <w:rPr>
          <w:rFonts w:hint="eastAsia"/>
          <w:bCs/>
          <w:color w:val="000000"/>
          <w:u w:val="single"/>
          <w:lang w:val="en-US" w:eastAsia="zh-CN"/>
        </w:rPr>
        <w:t>合肥滨湖会展中心闲置车辆评估项目</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w:t>
      </w:r>
      <w:r>
        <w:rPr>
          <w:rFonts w:hint="eastAsia"/>
          <w:bCs/>
          <w:color w:val="000000"/>
          <w:lang w:val="en-US" w:eastAsia="zh-CN"/>
        </w:rPr>
        <w:t>条件</w:t>
      </w:r>
      <w:r>
        <w:rPr>
          <w:rFonts w:ascii="Times New Roman" w:hAnsi="Times New Roman" w:cs="Times New Roman" w:eastAsiaTheme="minorEastAsia"/>
          <w:szCs w:val="21"/>
        </w:rPr>
        <w:t>的投标人参加投标。</w:t>
      </w:r>
    </w:p>
    <w:p>
      <w:pPr>
        <w:spacing w:line="360" w:lineRule="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2024ZWHZXJ000</w:t>
      </w:r>
      <w:r>
        <w:rPr>
          <w:rFonts w:hint="eastAsia" w:ascii="Times New Roman" w:hAnsi="Times New Roman" w:cs="Times New Roman"/>
          <w:szCs w:val="21"/>
          <w:u w:val="single"/>
          <w:lang w:val="en-US" w:eastAsia="zh-CN"/>
        </w:rPr>
        <w:t>23</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bCs/>
          <w:color w:val="000000"/>
          <w:u w:val="single"/>
          <w:lang w:val="en-US" w:eastAsia="zh-CN"/>
        </w:rPr>
        <w:t>合肥滨湖会展中心闲置车辆评估项目</w:t>
      </w:r>
    </w:p>
    <w:p>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eastAsia="zh-CN"/>
        </w:rPr>
        <w:t>合肥滨湖国际会展中心</w:t>
      </w:r>
      <w:r>
        <w:rPr>
          <w:rFonts w:ascii="Times New Roman" w:hAnsi="Times New Roman" w:cs="Times New Roman" w:eastAsiaTheme="minorEastAsia"/>
          <w:szCs w:val="21"/>
          <w:u w:val="single"/>
        </w:rPr>
        <w:t xml:space="preserve">    </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eastAsia="zh-CN"/>
        </w:rPr>
        <w:t>合肥政文国际会展管理有限公司</w:t>
      </w:r>
    </w:p>
    <w:p>
      <w:pPr>
        <w:spacing w:line="360" w:lineRule="auto"/>
        <w:ind w:firstLine="420" w:firstLineChars="200"/>
        <w:rPr>
          <w:rFonts w:hint="eastAsia" w:ascii="Times New Roman" w:hAnsi="Times New Roman" w:cs="Times New Roman" w:eastAsiaTheme="minorEastAsia"/>
          <w:szCs w:val="21"/>
          <w:u w:val="single"/>
          <w:lang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szCs w:val="21"/>
          <w:u w:val="single"/>
          <w:lang w:eastAsia="zh-CN"/>
        </w:rPr>
        <w:t>现对会展公司闲置车辆进行评估，详见招标需求</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hint="eastAsia" w:ascii="Times New Roman" w:hAnsi="Times New Roman" w:cs="Times New Roman"/>
          <w:szCs w:val="21"/>
          <w:u w:val="single"/>
          <w:lang w:val="en-US" w:eastAsia="zh-CN"/>
        </w:rPr>
        <w:t>自筹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3000元</w:t>
      </w:r>
      <w:r>
        <w:rPr>
          <w:rFonts w:ascii="Times New Roman" w:hAnsi="Times New Roman" w:cs="Times New Roman" w:eastAsiaTheme="minorEastAsia"/>
          <w:szCs w:val="21"/>
          <w:u w:val="single"/>
        </w:rPr>
        <w:t xml:space="preserve">     </w:t>
      </w:r>
    </w:p>
    <w:p>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eastAsia="zh-CN"/>
        </w:rPr>
        <w:t>服务</w:t>
      </w:r>
    </w:p>
    <w:p>
      <w:pPr>
        <w:spacing w:line="360" w:lineRule="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outlineLvl w:val="2"/>
        <w:rPr>
          <w:rFonts w:hint="eastAsia" w:ascii="宋体" w:hAnsi="宋体" w:eastAsia="宋体" w:cs="宋体"/>
          <w:sz w:val="21"/>
          <w:szCs w:val="21"/>
          <w:highlight w:val="none"/>
        </w:rPr>
      </w:pPr>
      <w:r>
        <w:rPr>
          <w:rFonts w:hint="eastAsia" w:ascii="宋体" w:hAnsi="宋体" w:eastAsia="宋体" w:cs="宋体"/>
          <w:sz w:val="21"/>
          <w:szCs w:val="21"/>
          <w:highlight w:val="none"/>
        </w:rPr>
        <w:t>1.投标人具有独立承担民事责任的能力；</w:t>
      </w:r>
    </w:p>
    <w:p>
      <w:pPr>
        <w:spacing w:line="360" w:lineRule="auto"/>
        <w:ind w:firstLine="420" w:firstLineChars="200"/>
        <w:rPr>
          <w:rFonts w:hint="eastAsia" w:asciiTheme="majorEastAsia" w:hAnsiTheme="majorEastAsia" w:eastAsiaTheme="majorEastAsia" w:cstheme="majorEastAsia"/>
          <w:b/>
          <w:bCs/>
          <w:szCs w:val="21"/>
        </w:rPr>
      </w:pPr>
      <w:r>
        <w:rPr>
          <w:rFonts w:hint="eastAsia" w:ascii="宋体" w:hAnsi="宋体" w:eastAsia="宋体" w:cs="宋体"/>
          <w:color w:val="auto"/>
          <w:sz w:val="21"/>
          <w:szCs w:val="21"/>
          <w:highlight w:val="none"/>
        </w:rPr>
        <w:t>2.投标人资质要求：</w:t>
      </w:r>
      <w:r>
        <w:rPr>
          <w:rFonts w:hint="eastAsia" w:ascii="宋体" w:hAnsi="宋体" w:eastAsia="宋体" w:cs="宋体"/>
          <w:b/>
          <w:bCs/>
          <w:sz w:val="21"/>
          <w:szCs w:val="21"/>
        </w:rPr>
        <w:t>投标人为合肥市建设投资控股（集团）有限公司资产评估备</w:t>
      </w:r>
      <w:r>
        <w:rPr>
          <w:rFonts w:hint="eastAsia" w:asciiTheme="majorEastAsia" w:hAnsiTheme="majorEastAsia" w:eastAsiaTheme="majorEastAsia" w:cstheme="majorEastAsia"/>
          <w:b/>
          <w:bCs/>
          <w:szCs w:val="21"/>
        </w:rPr>
        <w:t>选库且属于资产类评估单位。</w:t>
      </w:r>
    </w:p>
    <w:p>
      <w:pPr>
        <w:spacing w:line="360" w:lineRule="auto"/>
        <w:ind w:firstLine="420" w:firstLineChars="200"/>
        <w:rPr>
          <w:rFonts w:hint="eastAsia" w:ascii="Times New Roman" w:hAnsi="Times New Roman" w:cs="Times New Roman" w:eastAsiaTheme="majorEastAsia"/>
          <w:b w:val="0"/>
          <w:bCs w:val="0"/>
          <w:i/>
          <w:iCs/>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从合肥</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w:t>
      </w:r>
      <w:r>
        <w:rPr>
          <w:rFonts w:hint="eastAsia" w:ascii="宋体" w:hAnsi="宋体" w:eastAsia="宋体" w:cs="宋体"/>
          <w:color w:val="000000" w:themeColor="text1"/>
          <w:sz w:val="21"/>
          <w:szCs w:val="21"/>
          <w:highlight w:val="none"/>
          <w:lang w:val="en-US" w:eastAsia="zh-CN"/>
          <w14:textFill>
            <w14:solidFill>
              <w14:schemeClr w14:val="tx1"/>
            </w14:solidFill>
          </w14:textFill>
        </w:rPr>
        <w:t>控股（集团）有限公司建立的资产评估机构备选库公开择优选择，</w:t>
      </w:r>
      <w:r>
        <w:rPr>
          <w:rFonts w:hint="eastAsia" w:asciiTheme="majorEastAsia" w:hAnsiTheme="majorEastAsia" w:eastAsiaTheme="majorEastAsia" w:cstheme="majorEastAsia"/>
          <w:b w:val="0"/>
          <w:bCs w:val="0"/>
          <w:color w:val="000000" w:themeColor="text1"/>
          <w:szCs w:val="21"/>
          <w:highlight w:val="none"/>
          <w:lang w:eastAsia="zh-CN"/>
          <w14:textFill>
            <w14:solidFill>
              <w14:schemeClr w14:val="tx1"/>
            </w14:solidFill>
          </w14:textFill>
        </w:rPr>
        <w:t>投标人需入选合肥市建设</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投资控股（集团）有限公司2023年6月14日公布的资产评估服务机构名单（第一标段资产类）。</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pacing w:val="0"/>
          <w:sz w:val="21"/>
          <w:szCs w:val="21"/>
          <w:highlight w:val="none"/>
          <w14:textFill>
            <w14:solidFill>
              <w14:schemeClr w14:val="tx1"/>
            </w14:solidFill>
          </w14:textFill>
        </w:rPr>
        <w:t>遵守国家有关法律、法规、规章以及企业国有资产评估的政策规定，严格履行法定职责，近3年内没有违法违规记录，在承担国有资产评估工作中未出现重大质量问题或不良记录；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pacing w:val="0"/>
          <w:sz w:val="21"/>
          <w:szCs w:val="21"/>
          <w:highlight w:val="none"/>
          <w14:textFill>
            <w14:solidFill>
              <w14:schemeClr w14:val="tx1"/>
            </w14:solidFill>
          </w14:textFill>
        </w:rPr>
        <w:t>具备法定执业资格，具有与评估需求相适应的资质条件、专业人员和专业特长；</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pacing w:val="0"/>
          <w:sz w:val="21"/>
          <w:szCs w:val="21"/>
          <w:highlight w:val="none"/>
          <w14:textFill>
            <w14:solidFill>
              <w14:schemeClr w14:val="tx1"/>
            </w14:solidFill>
          </w14:textFill>
        </w:rPr>
        <w:t>掌握企业所在行业的经济行为特点和相关市场信息，熟悉与企业及其所在行业相关的法规、政策；</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000000" w:themeColor="text1"/>
          <w:spacing w:val="0"/>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pacing w:val="0"/>
          <w:sz w:val="21"/>
          <w:szCs w:val="21"/>
          <w:highlight w:val="none"/>
          <w14:textFill>
            <w14:solidFill>
              <w14:schemeClr w14:val="tx1"/>
            </w14:solidFill>
          </w14:textFill>
        </w:rPr>
        <w:t>具备健全、完善的内部质量控制体系，建有国有资产评估报告三级及三级以上审核制度；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outlineLvl w:val="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pacing w:val="0"/>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pacing w:val="0"/>
          <w:sz w:val="21"/>
          <w:szCs w:val="21"/>
          <w:highlight w:val="none"/>
          <w14:textFill>
            <w14:solidFill>
              <w14:schemeClr w14:val="tx1"/>
            </w14:solidFill>
          </w14:textFill>
        </w:rPr>
        <w:t>结合企业及评估项目实际，需要具备的其他条件。</w:t>
      </w:r>
    </w:p>
    <w:p>
      <w:pPr>
        <w:spacing w:line="360" w:lineRule="auto"/>
        <w:outlineLvl w:val="1"/>
        <w:rPr>
          <w:rFonts w:hint="eastAsia" w:ascii="Times New Roman" w:hAnsi="Times New Roman" w:cs="Times New Roman" w:eastAsiaTheme="minorEastAsia"/>
          <w:b/>
          <w:bCs/>
          <w:sz w:val="24"/>
          <w:szCs w:val="18"/>
          <w:highlight w:val="none"/>
          <w:lang w:val="en-US" w:eastAsia="zh-CN"/>
        </w:rPr>
      </w:pPr>
      <w:r>
        <w:rPr>
          <w:rFonts w:ascii="Times New Roman" w:hAnsi="Times New Roman" w:cs="Times New Roman" w:eastAsiaTheme="minorEastAsia"/>
          <w:b/>
          <w:bCs/>
          <w:sz w:val="24"/>
          <w:szCs w:val="18"/>
          <w:highlight w:val="none"/>
        </w:rPr>
        <w:t>三</w:t>
      </w:r>
      <w:r>
        <w:rPr>
          <w:rFonts w:ascii="Times New Roman" w:hAnsi="Times New Roman" w:cs="Times New Roman" w:eastAsiaTheme="minorEastAsia"/>
          <w:b/>
          <w:sz w:val="24"/>
          <w:highlight w:val="none"/>
        </w:rPr>
        <w:t>、</w:t>
      </w:r>
      <w:r>
        <w:rPr>
          <w:rFonts w:ascii="Times New Roman" w:hAnsi="Times New Roman" w:cs="Times New Roman" w:eastAsiaTheme="minorEastAsia"/>
          <w:b/>
          <w:bCs/>
          <w:sz w:val="24"/>
          <w:szCs w:val="18"/>
          <w:highlight w:val="none"/>
        </w:rPr>
        <w:t>询价文件的获取</w:t>
      </w:r>
      <w:r>
        <w:rPr>
          <w:rFonts w:hint="eastAsia" w:ascii="Times New Roman" w:hAnsi="Times New Roman" w:cs="Times New Roman" w:eastAsiaTheme="minorEastAsia"/>
          <w:b/>
          <w:bCs/>
          <w:sz w:val="24"/>
          <w:szCs w:val="18"/>
          <w:highlight w:val="none"/>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10</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17</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10</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w:t>
      </w:r>
      <w:r>
        <w:rPr>
          <w:rFonts w:hint="eastAsia" w:ascii="Times New Roman" w:hAnsi="Times New Roman" w:eastAsia="宋体" w:cs="Times New Roman"/>
          <w:bCs/>
          <w:snapToGrid w:val="0"/>
          <w:color w:val="000000"/>
          <w:lang w:eastAsia="zh-CN"/>
        </w:rPr>
        <w:t>合肥政文国际会展管理有限公司</w:t>
      </w:r>
      <w:r>
        <w:rPr>
          <w:rFonts w:ascii="Times New Roman" w:hAnsi="Times New Roman" w:eastAsia="宋体" w:cs="Times New Roman"/>
          <w:bCs/>
          <w:snapToGrid w:val="0"/>
          <w:color w:val="000000"/>
        </w:rPr>
        <w:t>网站（</w:t>
      </w:r>
      <w:r>
        <w:rPr>
          <w:rFonts w:hint="eastAsia" w:ascii="Times New Roman" w:hAnsi="Times New Roman" w:eastAsia="宋体" w:cs="Times New Roman"/>
          <w:bCs/>
          <w:snapToGrid w:val="0"/>
          <w:color w:val="000000"/>
          <w:lang w:eastAsia="zh-CN"/>
        </w:rPr>
        <w:t>https://www.hfhuizhan.com</w:t>
      </w:r>
      <w:r>
        <w:rPr>
          <w:rFonts w:ascii="Times New Roman" w:hAnsi="Times New Roman" w:eastAsia="宋体" w:cs="Times New Roman"/>
          <w:bCs/>
          <w:snapToGrid w:val="0"/>
          <w:color w:val="000000"/>
        </w:rPr>
        <w:t>）下载询价文件</w:t>
      </w:r>
    </w:p>
    <w:p>
      <w:pPr>
        <w:widowControl/>
        <w:wordWrap w:val="0"/>
        <w:spacing w:line="500" w:lineRule="exact"/>
        <w:ind w:firstLine="420" w:firstLineChars="200"/>
        <w:jc w:val="left"/>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3.报名方法：投标人下载附件《投标报名信息表》并完整填写信息后在规定的</w:t>
      </w:r>
      <w:bookmarkStart w:id="30" w:name="_GoBack"/>
      <w:bookmarkEnd w:id="30"/>
      <w:r>
        <w:rPr>
          <w:rFonts w:ascii="Times New Roman" w:hAnsi="Times New Roman" w:cs="Times New Roman" w:eastAsiaTheme="majorEastAsia"/>
          <w:color w:val="auto"/>
          <w:szCs w:val="21"/>
        </w:rPr>
        <w:t>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ascii="Times New Roman" w:hAnsi="Times New Roman" w:cs="Times New Roman" w:eastAsiaTheme="majorEastAsia"/>
          <w:color w:val="auto"/>
          <w:szCs w:val="21"/>
        </w:rPr>
        <w:t>942219419@qq.com</w:t>
      </w:r>
      <w:r>
        <w:rPr>
          <w:rFonts w:ascii="Times New Roman" w:hAnsi="Times New Roman" w:cs="Times New Roman" w:eastAsiaTheme="majorEastAsia"/>
          <w:color w:val="auto"/>
          <w:szCs w:val="21"/>
        </w:rPr>
        <w:fldChar w:fldCharType="end"/>
      </w:r>
    </w:p>
    <w:p>
      <w:pPr>
        <w:spacing w:line="360" w:lineRule="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outlineLvl w:val="2"/>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10</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hint="eastAsia" w:ascii="Times New Roman" w:hAnsi="Times New Roman" w:eastAsia="宋体" w:cs="Times New Roman"/>
          <w:bCs/>
          <w:snapToGrid w:val="0"/>
          <w:color w:val="000000"/>
          <w:sz w:val="18"/>
          <w:szCs w:val="16"/>
          <w:u w:val="single"/>
          <w:lang w:val="en-US" w:eastAsia="zh-CN"/>
        </w:rPr>
        <w:t>25</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14</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30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分</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hint="eastAsia" w:ascii="Times New Roman" w:hAnsi="Times New Roman" w:cs="Times New Roman" w:eastAsiaTheme="minorEastAsia"/>
          <w:szCs w:val="15"/>
          <w:u w:val="single"/>
        </w:rPr>
        <w:t>安徽省合肥市</w:t>
      </w:r>
      <w:r>
        <w:rPr>
          <w:rFonts w:hint="eastAsia" w:ascii="Times New Roman" w:hAnsi="Times New Roman" w:cs="Times New Roman" w:eastAsiaTheme="minorEastAsia"/>
          <w:szCs w:val="15"/>
          <w:u w:val="single"/>
          <w:lang w:val="en-US" w:eastAsia="zh-CN"/>
        </w:rPr>
        <w:t>滨湖新区</w:t>
      </w:r>
      <w:r>
        <w:rPr>
          <w:rFonts w:hint="eastAsia" w:ascii="Times New Roman" w:hAnsi="Times New Roman" w:cs="Times New Roman" w:eastAsiaTheme="minorEastAsia"/>
          <w:szCs w:val="15"/>
          <w:u w:val="single"/>
        </w:rPr>
        <w:t>锦绣大道3899号合肥滨湖国际会展中心</w:t>
      </w:r>
      <w:r>
        <w:rPr>
          <w:rFonts w:hint="eastAsia" w:ascii="Times New Roman" w:hAnsi="Times New Roman" w:cs="Times New Roman"/>
          <w:szCs w:val="15"/>
          <w:u w:val="single"/>
          <w:lang w:val="en-US" w:eastAsia="zh-CN"/>
        </w:rPr>
        <w:t>行政办公楼</w:t>
      </w:r>
      <w:r>
        <w:rPr>
          <w:rFonts w:hint="eastAsia" w:ascii="Times New Roman" w:hAnsi="Times New Roman" w:cs="Times New Roman" w:eastAsiaTheme="minorEastAsia"/>
          <w:szCs w:val="15"/>
          <w:u w:val="single"/>
        </w:rPr>
        <w:t>419室</w:t>
      </w:r>
    </w:p>
    <w:p>
      <w:pPr>
        <w:spacing w:line="360" w:lineRule="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500" w:lineRule="exact"/>
        <w:ind w:firstLine="435"/>
        <w:outlineLvl w:val="2"/>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widowControl/>
        <w:spacing w:line="460" w:lineRule="exact"/>
        <w:ind w:firstLine="420" w:firstLineChars="200"/>
        <w:jc w:val="left"/>
        <w:rPr>
          <w:rFonts w:hint="eastAsia" w:ascii="Times New Roman" w:hAnsi="Times New Roman" w:eastAsia="宋体"/>
          <w:bCs/>
          <w:snapToGrid w:val="0"/>
          <w:kern w:val="0"/>
          <w:szCs w:val="21"/>
          <w:u w:val="single"/>
          <w:lang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合肥政文国际会展管理有限公司</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滨湖新</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hint="eastAsia" w:ascii="Times New Roman" w:hAnsi="Times New Roman"/>
          <w:bCs/>
          <w:snapToGrid w:val="0"/>
          <w:kern w:val="0"/>
          <w:szCs w:val="21"/>
          <w:u w:val="single"/>
          <w:lang w:val="en-US" w:eastAsia="zh-CN"/>
        </w:rPr>
        <w:t>高工</w:t>
      </w:r>
      <w:r>
        <w:rPr>
          <w:rFonts w:ascii="Times New Roman" w:hAnsi="Times New Roman"/>
          <w:bCs/>
          <w:snapToGrid w:val="0"/>
          <w:kern w:val="0"/>
          <w:szCs w:val="21"/>
          <w:u w:val="singl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0551-65790295</w:t>
      </w:r>
      <w:r>
        <w:rPr>
          <w:rFonts w:ascii="Times New Roman" w:hAnsi="Times New Roman"/>
          <w:bCs/>
          <w:snapToGrid w:val="0"/>
          <w:kern w:val="0"/>
          <w:szCs w:val="21"/>
        </w:rPr>
        <w:t xml:space="preserve"> </w:t>
      </w:r>
    </w:p>
    <w:p>
      <w:pPr>
        <w:spacing w:line="500" w:lineRule="exact"/>
        <w:ind w:firstLine="435"/>
        <w:outlineLvl w:val="2"/>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监督管理部门：</w:t>
      </w:r>
      <w:r>
        <w:rPr>
          <w:rFonts w:hint="eastAsia" w:ascii="Times New Roman" w:hAnsi="Times New Roman"/>
          <w:bCs/>
          <w:snapToGrid w:val="0"/>
          <w:kern w:val="0"/>
          <w:szCs w:val="21"/>
          <w:u w:val="single"/>
          <w:lang w:val="en-US" w:eastAsia="zh-CN"/>
        </w:rPr>
        <w:t>合肥政文国际会展管理有限公司督查室</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trike w:val="0"/>
          <w:dstrike w:val="0"/>
          <w:snapToGrid w:val="0"/>
          <w:kern w:val="0"/>
          <w:szCs w:val="21"/>
          <w:u w:val="single"/>
        </w:rPr>
        <w:t>安徽省合肥市</w:t>
      </w:r>
      <w:r>
        <w:rPr>
          <w:rFonts w:hint="eastAsia" w:ascii="Times New Roman" w:hAnsi="Times New Roman"/>
          <w:bCs/>
          <w:strike w:val="0"/>
          <w:dstrike w:val="0"/>
          <w:snapToGrid w:val="0"/>
          <w:kern w:val="0"/>
          <w:szCs w:val="21"/>
          <w:u w:val="single"/>
          <w:lang w:val="en-US" w:eastAsia="zh-CN"/>
        </w:rPr>
        <w:t>滨湖</w:t>
      </w:r>
      <w:r>
        <w:rPr>
          <w:rFonts w:hint="eastAsia" w:ascii="Times New Roman" w:hAnsi="Times New Roman"/>
          <w:bCs/>
          <w:strike w:val="0"/>
          <w:dstrike w:val="0"/>
          <w:snapToGrid w:val="0"/>
          <w:kern w:val="0"/>
          <w:szCs w:val="21"/>
          <w:u w:val="single"/>
        </w:rPr>
        <w:t>区锦绣大道3899号合肥滨湖国际会展中心</w:t>
      </w:r>
      <w:r>
        <w:rPr>
          <w:rFonts w:ascii="Times New Roman" w:hAnsi="Times New Roman"/>
          <w:bCs/>
          <w:strike w:val="0"/>
          <w:dstrike w:val="0"/>
          <w:snapToGrid w:val="0"/>
          <w:kern w:val="0"/>
          <w:szCs w:val="21"/>
          <w:u w:val="none"/>
        </w:rPr>
        <w:t xml:space="preserve"> </w:t>
      </w:r>
      <w:r>
        <w:rPr>
          <w:rFonts w:ascii="Times New Roman" w:hAnsi="Times New Roman"/>
          <w:bCs/>
          <w:snapToGrid w:val="0"/>
          <w:kern w:val="0"/>
          <w:szCs w:val="21"/>
        </w:rPr>
        <w:t xml:space="preserve">   </w:t>
      </w:r>
    </w:p>
    <w:p>
      <w:pPr>
        <w:widowControl/>
        <w:spacing w:line="460" w:lineRule="exact"/>
        <w:ind w:firstLine="420" w:firstLineChars="200"/>
        <w:jc w:val="left"/>
        <w:rPr>
          <w:rFonts w:hint="default" w:ascii="Times New Roman" w:hAnsi="Times New Roman" w:eastAsia="宋体"/>
          <w:bCs/>
          <w:snapToGrid w:val="0"/>
          <w:kern w:val="0"/>
          <w:szCs w:val="21"/>
          <w:lang w:val="en-US" w:eastAsia="zh-CN"/>
        </w:rPr>
      </w:pPr>
      <w:r>
        <w:rPr>
          <w:rFonts w:ascii="Times New Roman" w:hAnsi="Times New Roman"/>
          <w:bCs/>
          <w:snapToGrid w:val="0"/>
          <w:kern w:val="0"/>
          <w:szCs w:val="21"/>
        </w:rPr>
        <w:t>电  话：</w:t>
      </w:r>
      <w:r>
        <w:rPr>
          <w:rFonts w:hint="eastAsia" w:ascii="Times New Roman" w:hAnsi="Times New Roman"/>
          <w:bCs/>
          <w:snapToGrid w:val="0"/>
          <w:kern w:val="0"/>
          <w:szCs w:val="21"/>
          <w:u w:val="single"/>
          <w:lang w:val="en-US" w:eastAsia="zh-CN"/>
        </w:rPr>
        <w:t>0551-65790230</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pPr>
        <w:widowControl/>
        <w:spacing w:line="500" w:lineRule="exact"/>
        <w:ind w:firstLine="420" w:firstLineChars="200"/>
        <w:jc w:val="left"/>
        <w:rPr>
          <w:bCs/>
          <w:snapToGrid w:val="0"/>
          <w:kern w:val="0"/>
          <w:szCs w:val="21"/>
        </w:rPr>
      </w:pPr>
      <w:r>
        <w:rPr>
          <w:bCs/>
          <w:snapToGrid w:val="0"/>
          <w:kern w:val="0"/>
          <w:szCs w:val="21"/>
        </w:rPr>
        <w:t>有任何疑问或问题，请在工作时间（周一至周五，上午08:</w:t>
      </w:r>
      <w:r>
        <w:rPr>
          <w:rFonts w:hint="eastAsia"/>
          <w:bCs/>
          <w:snapToGrid w:val="0"/>
          <w:kern w:val="0"/>
          <w:szCs w:val="21"/>
          <w:lang w:val="en-US" w:eastAsia="zh-CN"/>
        </w:rPr>
        <w:t>3</w:t>
      </w:r>
      <w:r>
        <w:rPr>
          <w:bCs/>
          <w:snapToGrid w:val="0"/>
          <w:kern w:val="0"/>
          <w:szCs w:val="21"/>
        </w:rPr>
        <w:t>0-1</w:t>
      </w:r>
      <w:r>
        <w:rPr>
          <w:rFonts w:hint="eastAsia"/>
          <w:bCs/>
          <w:snapToGrid w:val="0"/>
          <w:kern w:val="0"/>
          <w:szCs w:val="21"/>
          <w:lang w:val="en-US" w:eastAsia="zh-CN"/>
        </w:rPr>
        <w:t>1</w:t>
      </w:r>
      <w:r>
        <w:rPr>
          <w:bCs/>
          <w:snapToGrid w:val="0"/>
          <w:kern w:val="0"/>
          <w:szCs w:val="21"/>
        </w:rPr>
        <w:t>:</w:t>
      </w:r>
      <w:r>
        <w:rPr>
          <w:rFonts w:hint="eastAsia"/>
          <w:bCs/>
          <w:snapToGrid w:val="0"/>
          <w:kern w:val="0"/>
          <w:szCs w:val="21"/>
          <w:lang w:val="en-US" w:eastAsia="zh-CN"/>
        </w:rPr>
        <w:t>3</w:t>
      </w:r>
      <w:r>
        <w:rPr>
          <w:bCs/>
          <w:snapToGrid w:val="0"/>
          <w:kern w:val="0"/>
          <w:szCs w:val="21"/>
        </w:rPr>
        <w:t>0，下午</w:t>
      </w:r>
      <w:r>
        <w:rPr>
          <w:rFonts w:hint="eastAsia"/>
          <w:bCs/>
          <w:snapToGrid w:val="0"/>
          <w:kern w:val="0"/>
          <w:szCs w:val="21"/>
          <w:lang w:val="en-US" w:eastAsia="zh-CN"/>
        </w:rPr>
        <w:t>1</w:t>
      </w:r>
      <w:r>
        <w:rPr>
          <w:bCs/>
          <w:snapToGrid w:val="0"/>
          <w:kern w:val="0"/>
          <w:szCs w:val="21"/>
        </w:rPr>
        <w:t>:30-5:</w:t>
      </w:r>
      <w:r>
        <w:rPr>
          <w:rFonts w:hint="eastAsia"/>
          <w:bCs/>
          <w:snapToGrid w:val="0"/>
          <w:kern w:val="0"/>
          <w:szCs w:val="21"/>
          <w:lang w:val="en-US" w:eastAsia="zh-CN"/>
        </w:rPr>
        <w:t>0</w:t>
      </w:r>
      <w:r>
        <w:rPr>
          <w:bCs/>
          <w:snapToGrid w:val="0"/>
          <w:kern w:val="0"/>
          <w:szCs w:val="21"/>
        </w:rPr>
        <w:t>0，节假日休息）与项目联系人联系。</w:t>
      </w:r>
    </w:p>
    <w:p>
      <w:pPr>
        <w:spacing w:line="500" w:lineRule="exact"/>
        <w:ind w:firstLine="482" w:firstLineChars="200"/>
        <w:outlineLvl w:val="1"/>
        <w:rPr>
          <w:rFonts w:ascii="Times New Roman" w:hAnsi="Times New Roman" w:cs="Times New Roman" w:eastAsiaTheme="majorEastAsia"/>
          <w:b/>
          <w:bCs/>
          <w:sz w:val="24"/>
          <w:szCs w:val="24"/>
        </w:rPr>
      </w:pPr>
      <w:r>
        <w:rPr>
          <w:rFonts w:hint="eastAsia" w:ascii="Times New Roman" w:hAnsi="Times New Roman" w:cs="Times New Roman" w:eastAsiaTheme="majorEastAsia"/>
          <w:b/>
          <w:bCs/>
          <w:sz w:val="24"/>
          <w:szCs w:val="24"/>
          <w:lang w:val="en-US" w:eastAsia="zh-CN"/>
        </w:rPr>
        <w:t>八、</w:t>
      </w:r>
      <w:r>
        <w:rPr>
          <w:rFonts w:ascii="Times New Roman" w:hAnsi="Times New Roman" w:cs="Times New Roman" w:eastAsiaTheme="majorEastAsia"/>
          <w:b/>
          <w:bCs/>
          <w:sz w:val="24"/>
          <w:szCs w:val="24"/>
        </w:rPr>
        <w:t>投标保证金账户</w:t>
      </w:r>
    </w:p>
    <w:p>
      <w:pPr>
        <w:widowControl/>
        <w:spacing w:line="460" w:lineRule="exact"/>
        <w:ind w:firstLine="420" w:firstLineChars="200"/>
        <w:jc w:val="left"/>
        <w:rPr>
          <w:rFonts w:hint="eastAsia" w:ascii="Times New Roman" w:hAnsi="Times New Roman"/>
          <w:bCs/>
          <w:snapToGrid w:val="0"/>
          <w:kern w:val="0"/>
          <w:szCs w:val="21"/>
          <w:u w:val="none"/>
        </w:rPr>
      </w:pPr>
      <w:r>
        <w:rPr>
          <w:rFonts w:ascii="Times New Roman" w:hAnsi="Times New Roman"/>
          <w:bCs/>
          <w:snapToGrid w:val="0"/>
          <w:kern w:val="0"/>
          <w:szCs w:val="21"/>
        </w:rPr>
        <w:t>单位名称</w:t>
      </w:r>
      <w:r>
        <w:rPr>
          <w:rFonts w:ascii="Times New Roman" w:hAnsi="Times New Roman"/>
          <w:bCs/>
          <w:snapToGrid w:val="0"/>
          <w:kern w:val="0"/>
          <w:szCs w:val="21"/>
          <w:u w:val="none"/>
        </w:rPr>
        <w:t>：</w:t>
      </w:r>
      <w:r>
        <w:rPr>
          <w:rFonts w:hint="eastAsia" w:ascii="Times New Roman" w:hAnsi="Times New Roman"/>
          <w:bCs/>
          <w:snapToGrid w:val="0"/>
          <w:kern w:val="0"/>
          <w:szCs w:val="21"/>
          <w:u w:val="none"/>
        </w:rPr>
        <w:t>合肥政文国际会展管理有限公司</w:t>
      </w:r>
    </w:p>
    <w:p>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开户银行账号：</w:t>
      </w:r>
      <w:r>
        <w:rPr>
          <w:rFonts w:hint="eastAsia" w:ascii="Times New Roman" w:hAnsi="Times New Roman"/>
          <w:bCs/>
          <w:snapToGrid w:val="0"/>
          <w:kern w:val="0"/>
          <w:szCs w:val="21"/>
          <w:u w:val="none"/>
        </w:rPr>
        <w:t>76690188000476007</w:t>
      </w:r>
    </w:p>
    <w:p>
      <w:pPr>
        <w:widowControl/>
        <w:spacing w:line="460" w:lineRule="exact"/>
        <w:ind w:firstLine="420" w:firstLineChars="200"/>
        <w:jc w:val="left"/>
        <w:rPr>
          <w:rFonts w:ascii="Times New Roman" w:hAnsi="Times New Roman"/>
          <w:bCs/>
          <w:snapToGrid w:val="0"/>
          <w:kern w:val="0"/>
          <w:szCs w:val="21"/>
          <w:u w:val="none"/>
        </w:rPr>
      </w:pPr>
      <w:r>
        <w:rPr>
          <w:rFonts w:ascii="Times New Roman" w:hAnsi="Times New Roman"/>
          <w:bCs/>
          <w:snapToGrid w:val="0"/>
          <w:kern w:val="0"/>
          <w:szCs w:val="21"/>
          <w:u w:val="none"/>
        </w:rPr>
        <w:t>开户银行：</w:t>
      </w:r>
      <w:r>
        <w:rPr>
          <w:rFonts w:hint="eastAsia" w:ascii="Times New Roman" w:hAnsi="Times New Roman"/>
          <w:bCs/>
          <w:snapToGrid w:val="0"/>
          <w:kern w:val="0"/>
          <w:szCs w:val="21"/>
          <w:u w:val="none"/>
        </w:rPr>
        <w:t>光大银行合肥分行营业部</w:t>
      </w:r>
    </w:p>
    <w:p>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备注：</w:t>
      </w:r>
    </w:p>
    <w:p>
      <w:pPr>
        <w:widowControl/>
        <w:spacing w:line="500" w:lineRule="exact"/>
        <w:ind w:firstLine="420" w:firstLineChars="200"/>
        <w:jc w:val="left"/>
        <w:rPr>
          <w:rFonts w:ascii="Times New Roman" w:hAnsi="Times New Roman" w:eastAsia="宋体" w:cs="Times New Roman"/>
          <w:bCs/>
          <w:snapToGrid w:val="0"/>
          <w:color w:val="auto"/>
          <w:kern w:val="0"/>
          <w:szCs w:val="21"/>
        </w:rPr>
      </w:pPr>
      <w:r>
        <w:rPr>
          <w:rFonts w:hint="eastAsia" w:ascii="Times New Roman" w:hAnsi="Times New Roman" w:eastAsia="宋体" w:cs="Times New Roman"/>
          <w:bCs/>
          <w:snapToGrid w:val="0"/>
          <w:color w:val="auto"/>
          <w:kern w:val="0"/>
          <w:szCs w:val="21"/>
        </w:rPr>
        <w:t>（1）转帐时请备注“××项目投标保证金，并将转账凭证扫描件发送至</w:t>
      </w:r>
      <w:r>
        <w:rPr>
          <w:bCs/>
          <w:snapToGrid w:val="0"/>
          <w:color w:val="000000"/>
        </w:rPr>
        <w:fldChar w:fldCharType="begin"/>
      </w:r>
      <w:r>
        <w:rPr>
          <w:bCs/>
          <w:snapToGrid w:val="0"/>
          <w:color w:val="000000"/>
        </w:rPr>
        <w:instrText xml:space="preserve"> HYPERLINK "mailto:******@qq.com" </w:instrText>
      </w:r>
      <w:r>
        <w:rPr>
          <w:bCs/>
          <w:snapToGrid w:val="0"/>
          <w:color w:val="000000"/>
        </w:rPr>
        <w:fldChar w:fldCharType="separate"/>
      </w:r>
      <w:r>
        <w:rPr>
          <w:rFonts w:ascii="微软雅黑" w:hAnsi="微软雅黑" w:eastAsia="微软雅黑" w:cs="微软雅黑"/>
          <w:i w:val="0"/>
          <w:iCs w:val="0"/>
          <w:caps w:val="0"/>
          <w:spacing w:val="0"/>
          <w:sz w:val="18"/>
          <w:szCs w:val="18"/>
          <w:shd w:val="clear" w:color="auto" w:fill="FFFFFF"/>
        </w:rPr>
        <w:t>942219419</w:t>
      </w:r>
      <w:r>
        <w:rPr>
          <w:bCs/>
          <w:snapToGrid w:val="0"/>
          <w:color w:val="000000"/>
        </w:rPr>
        <w:t>@qq.com</w:t>
      </w:r>
      <w:r>
        <w:rPr>
          <w:bCs/>
          <w:snapToGrid w:val="0"/>
          <w:color w:val="000000"/>
        </w:rPr>
        <w:fldChar w:fldCharType="end"/>
      </w:r>
      <w:r>
        <w:rPr>
          <w:rFonts w:hint="eastAsia" w:ascii="Times New Roman" w:hAnsi="Times New Roman" w:eastAsia="宋体" w:cs="Times New Roman"/>
          <w:bCs/>
          <w:snapToGrid w:val="0"/>
          <w:color w:val="auto"/>
          <w:kern w:val="0"/>
          <w:szCs w:val="21"/>
        </w:rPr>
        <w:t>邮箱；</w:t>
      </w:r>
    </w:p>
    <w:p>
      <w:pPr>
        <w:widowControl/>
        <w:spacing w:line="500" w:lineRule="exact"/>
        <w:ind w:firstLine="420" w:firstLineChars="200"/>
        <w:jc w:val="left"/>
        <w:outlineLvl w:val="2"/>
        <w:rPr>
          <w:rFonts w:hint="default" w:ascii="Times New Roman" w:hAnsi="Times New Roman" w:eastAsia="宋体" w:cs="Times New Roman"/>
          <w:bCs/>
          <w:snapToGrid w:val="0"/>
          <w:color w:val="auto"/>
          <w:kern w:val="0"/>
          <w:szCs w:val="21"/>
          <w:lang w:val="en-US" w:eastAsia="zh-CN"/>
        </w:rPr>
      </w:pPr>
      <w:r>
        <w:rPr>
          <w:rFonts w:hint="eastAsia" w:ascii="Times New Roman" w:hAnsi="Times New Roman" w:eastAsia="宋体" w:cs="Times New Roman"/>
          <w:bCs/>
          <w:snapToGrid w:val="0"/>
          <w:color w:val="auto"/>
          <w:kern w:val="0"/>
          <w:szCs w:val="21"/>
        </w:rPr>
        <w:t>（2）投标保证金缴纳截止日为报名截止日。</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0"/>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3"/>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pPr>
              <w:pStyle w:val="31"/>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pPr>
              <w:pStyle w:val="31"/>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pPr>
              <w:pStyle w:val="31"/>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8"/>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38"/>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38"/>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38"/>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pPr>
              <w:pStyle w:val="31"/>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招标人委托评审小组确定     </w:t>
            </w:r>
          </w:p>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FE"/>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w:t>
            </w:r>
            <w:r>
              <w:rPr>
                <w:rFonts w:hint="eastAsia" w:ascii="Times New Roman" w:hAnsi="Times New Roman" w:eastAsia="宋体" w:cs="Times New Roman"/>
                <w:b/>
                <w:bCs/>
                <w:kern w:val="0"/>
                <w:szCs w:val="21"/>
                <w:lang w:eastAsia="zh-CN"/>
              </w:rPr>
              <w:t>或邮箱</w:t>
            </w:r>
            <w:r>
              <w:rPr>
                <w:rFonts w:ascii="Times New Roman" w:hAnsi="Times New Roman" w:eastAsia="宋体" w:cs="Times New Roman"/>
                <w:b/>
                <w:bCs/>
                <w:kern w:val="0"/>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pPr>
              <w:pStyle w:val="31"/>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eastAsia="zh-CN"/>
              </w:rPr>
              <w:t>合肥政文国际会展管理有限公司</w:t>
            </w:r>
            <w:r>
              <w:rPr>
                <w:rFonts w:ascii="Times New Roman" w:hAnsi="Times New Roman" w:eastAsia="宋体" w:cs="Times New Roman"/>
                <w:b w:val="0"/>
                <w:bCs w:val="0"/>
                <w:sz w:val="21"/>
                <w:szCs w:val="21"/>
              </w:rPr>
              <w:t>官网查看</w:t>
            </w:r>
          </w:p>
          <w:p>
            <w:pPr>
              <w:pStyle w:val="31"/>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bidi="ar-SA"/>
              </w:rPr>
            </w:pPr>
            <w:r>
              <w:rPr>
                <w:rFonts w:hint="eastAsia" w:ascii="Times New Roman" w:hAnsi="Times New Roman" w:cs="Times New Roman"/>
                <w:bCs/>
                <w:kern w:val="2"/>
                <w:sz w:val="21"/>
                <w:szCs w:val="21"/>
                <w:lang w:val="en-US" w:eastAsia="zh-CN"/>
              </w:rPr>
              <w:t>7</w:t>
            </w:r>
          </w:p>
        </w:tc>
        <w:tc>
          <w:tcPr>
            <w:tcW w:w="1072" w:type="pct"/>
            <w:vAlign w:val="center"/>
          </w:tcPr>
          <w:p>
            <w:pPr>
              <w:pStyle w:val="31"/>
              <w:widowControl w:val="0"/>
              <w:spacing w:before="0" w:beforeAutospacing="0" w:after="0" w:afterAutospacing="0" w:line="360" w:lineRule="auto"/>
              <w:jc w:val="both"/>
              <w:rPr>
                <w:rFonts w:hint="eastAsia" w:ascii="Times New Roman" w:hAnsi="Times New Roman" w:eastAsia="宋体" w:cs="Times New Roman"/>
                <w:b w:val="0"/>
                <w:bCs/>
                <w:kern w:val="0"/>
                <w:sz w:val="21"/>
                <w:szCs w:val="21"/>
                <w:lang w:val="en-US" w:eastAsia="zh-CN" w:bidi="ar-SA"/>
              </w:rPr>
            </w:pPr>
            <w:r>
              <w:rPr>
                <w:rFonts w:hint="eastAsia" w:ascii="Times New Roman" w:hAnsi="Times New Roman" w:cs="Times New Roman"/>
                <w:b w:val="0"/>
                <w:sz w:val="21"/>
                <w:szCs w:val="21"/>
                <w:lang w:val="en-US" w:eastAsia="zh-CN"/>
              </w:rPr>
              <w:t>投标保证金</w:t>
            </w:r>
          </w:p>
        </w:tc>
        <w:tc>
          <w:tcPr>
            <w:tcW w:w="3350" w:type="pct"/>
            <w:vAlign w:val="top"/>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1.是否要求投标人递交投标保证金：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不要求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要求</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投标保证金的形式：</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银行转账  </w:t>
            </w:r>
            <w:r>
              <w:rPr>
                <w:rFonts w:hint="eastAsia" w:ascii="Times New Roman" w:hAnsi="Times New Roman" w:eastAsia="宋体" w:cs="Times New Roman"/>
                <w:bCs/>
                <w:snapToGrid w:val="0"/>
                <w:sz w:val="21"/>
                <w:szCs w:val="21"/>
                <w:lang w:eastAsia="zh-CN"/>
              </w:rPr>
              <w:t>□</w:t>
            </w:r>
            <w:r>
              <w:rPr>
                <w:rFonts w:ascii="Times New Roman" w:hAnsi="Times New Roman" w:eastAsia="宋体" w:cs="Times New Roman"/>
                <w:bCs/>
                <w:snapToGrid w:val="0"/>
                <w:sz w:val="21"/>
                <w:szCs w:val="21"/>
              </w:rPr>
              <w:t xml:space="preserve">银行电汇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eastAsia="宋体" w:cs="Times New Roman"/>
                <w:bCs/>
                <w:snapToGrid w:val="0"/>
                <w:sz w:val="21"/>
                <w:szCs w:val="21"/>
                <w:lang w:val="en-US" w:eastAsia="zh-CN"/>
              </w:rPr>
            </w:pPr>
            <w:r>
              <w:rPr>
                <w:rFonts w:ascii="Times New Roman" w:hAnsi="Times New Roman" w:eastAsia="宋体" w:cs="Times New Roman"/>
                <w:bCs/>
                <w:snapToGrid w:val="0"/>
                <w:sz w:val="21"/>
                <w:szCs w:val="21"/>
              </w:rPr>
              <w:t>投标保证金的金额：</w:t>
            </w:r>
            <w:r>
              <w:rPr>
                <w:rFonts w:hint="eastAsia" w:ascii="Times New Roman" w:hAnsi="Times New Roman" w:eastAsia="宋体" w:cs="Times New Roman"/>
                <w:bCs/>
                <w:snapToGrid w:val="0"/>
                <w:sz w:val="21"/>
                <w:szCs w:val="21"/>
                <w:lang w:val="en-US" w:eastAsia="zh-CN"/>
              </w:rPr>
              <w:t>/</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 xml:space="preserve">递交要求：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①投标保证金的到账截止时间：</w:t>
            </w:r>
            <w:r>
              <w:rPr>
                <w:rFonts w:hint="eastAsia" w:ascii="Times New Roman" w:hAnsi="Times New Roman" w:eastAsia="宋体" w:cs="Times New Roman"/>
                <w:bCs/>
                <w:snapToGrid w:val="0"/>
                <w:sz w:val="21"/>
                <w:szCs w:val="21"/>
              </w:rPr>
              <w:t>报名</w:t>
            </w:r>
            <w:r>
              <w:rPr>
                <w:rFonts w:ascii="Times New Roman" w:hAnsi="Times New Roman" w:eastAsia="宋体" w:cs="Times New Roman"/>
                <w:bCs/>
                <w:snapToGrid w:val="0"/>
                <w:sz w:val="21"/>
                <w:szCs w:val="21"/>
              </w:rPr>
              <w:t>截止时间。</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②投标保证金应当从投标人</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账户转出，转出保证金的账户与投标人投标文件提供的</w:t>
            </w:r>
            <w:r>
              <w:rPr>
                <w:rFonts w:hint="eastAsia" w:ascii="Times New Roman" w:hAnsi="Times New Roman" w:eastAsia="宋体" w:cs="Times New Roman"/>
                <w:bCs/>
                <w:snapToGrid w:val="0"/>
                <w:sz w:val="21"/>
                <w:szCs w:val="21"/>
                <w:lang w:val="en-US" w:eastAsia="zh-CN"/>
              </w:rPr>
              <w:t>对公</w:t>
            </w:r>
            <w:r>
              <w:rPr>
                <w:rFonts w:ascii="Times New Roman" w:hAnsi="Times New Roman" w:eastAsia="宋体" w:cs="Times New Roman"/>
                <w:bCs/>
                <w:snapToGrid w:val="0"/>
                <w:sz w:val="21"/>
                <w:szCs w:val="21"/>
              </w:rPr>
              <w:t>账户不一致的，视为未按招标文件规定要求递交投标保证金。</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宋体" w:cs="Times New Roman"/>
                <w:bCs/>
                <w:snapToGrid w:val="0"/>
                <w:kern w:val="2"/>
                <w:sz w:val="21"/>
                <w:szCs w:val="21"/>
                <w:lang w:val="en-US" w:eastAsia="zh-CN" w:bidi="ar-SA"/>
              </w:rPr>
            </w:pPr>
            <w:r>
              <w:rPr>
                <w:rFonts w:ascii="Times New Roman" w:hAnsi="Times New Roman" w:eastAsia="宋体" w:cs="Times New Roman"/>
                <w:bCs/>
                <w:snapToGrid w:val="0"/>
                <w:sz w:val="21"/>
                <w:szCs w:val="21"/>
              </w:rPr>
              <w:t>③转帐时请备注“××项目投标保证金，并将转账凭证扫描件发送至942219419@qq.com邮箱</w:t>
            </w:r>
            <w:r>
              <w:rPr>
                <w:rFonts w:hint="eastAsia" w:ascii="Times New Roman" w:hAnsi="Times New Roman" w:eastAsia="宋体" w:cs="Times New Roman"/>
                <w:bCs/>
                <w:snapToGrid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8</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pPr>
              <w:spacing w:line="360" w:lineRule="auto"/>
              <w:rPr>
                <w:rFonts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line="360" w:lineRule="auto"/>
              <w:rPr>
                <w:rFonts w:hint="eastAsia" w:ascii="Times New Roman" w:hAnsi="Times New Roman" w:cs="Times New Roman" w:eastAsiaTheme="minorEastAsia"/>
                <w:b w:val="0"/>
                <w:sz w:val="21"/>
                <w:szCs w:val="21"/>
                <w:lang w:eastAsia="zh-CN"/>
              </w:rPr>
            </w:pPr>
            <w:r>
              <w:rPr>
                <w:rFonts w:hint="eastAsia" w:ascii="Times New Roman" w:hAnsi="Times New Roman" w:cs="Times New Roman"/>
                <w:b w:val="0"/>
                <w:sz w:val="21"/>
                <w:szCs w:val="21"/>
                <w:lang w:val="en-US" w:eastAsia="zh-CN"/>
              </w:rPr>
              <w:t>9</w:t>
            </w:r>
          </w:p>
        </w:tc>
        <w:tc>
          <w:tcPr>
            <w:tcW w:w="1072"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1"/>
              <w:widowControl w:val="0"/>
              <w:spacing w:before="0" w:beforeAutospacing="0" w:after="0" w:afterAutospacing="0" w:line="360" w:lineRule="auto"/>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10</w:t>
            </w:r>
          </w:p>
        </w:tc>
        <w:tc>
          <w:tcPr>
            <w:tcW w:w="1072"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p>
          <w:p>
            <w:pPr>
              <w:spacing w:line="360" w:lineRule="auto"/>
              <w:rPr>
                <w:rFonts w:ascii="Times New Roman" w:hAnsi="Times New Roman" w:eastAsia="宋体" w:cs="Times New Roman"/>
                <w:szCs w:val="21"/>
              </w:rPr>
            </w:pPr>
            <w:r>
              <w:rPr>
                <w:rFonts w:hint="eastAsia" w:ascii="Times New Roman" w:hAnsi="Times New Roman" w:eastAsia="宋体" w:cs="Times New Roman"/>
                <w:szCs w:val="21"/>
                <w:lang w:eastAsia="zh-CN"/>
              </w:rPr>
              <w:t>□</w:t>
            </w:r>
            <w:r>
              <w:rPr>
                <w:rFonts w:ascii="Times New Roman" w:hAnsi="Times New Roman" w:eastAsia="宋体" w:cs="Times New Roman"/>
                <w:szCs w:val="21"/>
              </w:rPr>
              <w:t xml:space="preserve">要求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eastAsia" w:ascii="Times New Roman" w:hAnsi="Times New Roman" w:cs="Times New Roman" w:eastAsiaTheme="minorEastAsia"/>
                <w:bCs/>
                <w:kern w:val="2"/>
                <w:sz w:val="21"/>
                <w:szCs w:val="21"/>
                <w:lang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1</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31"/>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w:t>
            </w:r>
            <w:r>
              <w:rPr>
                <w:rFonts w:hint="eastAsia" w:ascii="Times New Roman" w:hAnsi="Times New Roman" w:cs="Times New Roman"/>
                <w:sz w:val="21"/>
                <w:szCs w:val="21"/>
                <w:lang w:eastAsia="zh-CN"/>
              </w:rPr>
              <w:t>合肥政文国际会展管理有限公司</w:t>
            </w:r>
            <w:r>
              <w:rPr>
                <w:rFonts w:ascii="Times New Roman" w:hAnsi="Times New Roman" w:cs="Times New Roman" w:eastAsiaTheme="minorEastAsia"/>
                <w:sz w:val="21"/>
                <w:szCs w:val="21"/>
              </w:rPr>
              <w:t>官网自行下载本项目附件。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eastAsia" w:ascii="Times New Roman" w:hAnsi="Times New Roman" w:cs="Times New Roman" w:eastAsiaTheme="minorEastAsia"/>
                <w:bCs/>
                <w:kern w:val="2"/>
                <w:sz w:val="21"/>
                <w:szCs w:val="21"/>
                <w:lang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2</w:t>
            </w:r>
          </w:p>
        </w:tc>
        <w:tc>
          <w:tcPr>
            <w:tcW w:w="1072"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7"/>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13</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31"/>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eastAsia" w:ascii="Times New Roman" w:hAnsi="Times New Roman" w:cs="Times New Roman" w:eastAsiaTheme="minorEastAsia"/>
                <w:bCs/>
                <w:kern w:val="2"/>
                <w:sz w:val="21"/>
                <w:szCs w:val="21"/>
                <w:lang w:eastAsia="zh-CN"/>
              </w:rPr>
            </w:pPr>
            <w:r>
              <w:rPr>
                <w:rFonts w:ascii="Times New Roman" w:hAnsi="Times New Roman" w:cs="Times New Roman" w:eastAsiaTheme="minorEastAsia"/>
                <w:bCs/>
                <w:kern w:val="2"/>
                <w:sz w:val="21"/>
                <w:szCs w:val="21"/>
              </w:rPr>
              <w:t>1</w:t>
            </w:r>
            <w:r>
              <w:rPr>
                <w:rFonts w:hint="eastAsia" w:ascii="Times New Roman" w:hAnsi="Times New Roman" w:cs="Times New Roman"/>
                <w:bCs/>
                <w:kern w:val="2"/>
                <w:sz w:val="21"/>
                <w:szCs w:val="21"/>
                <w:lang w:val="en-US" w:eastAsia="zh-CN"/>
              </w:rPr>
              <w:t>4</w:t>
            </w:r>
          </w:p>
        </w:tc>
        <w:tc>
          <w:tcPr>
            <w:tcW w:w="1072" w:type="pct"/>
            <w:vAlign w:val="center"/>
          </w:tcPr>
          <w:p>
            <w:pPr>
              <w:pStyle w:val="31"/>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31"/>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pPr>
              <w:pStyle w:val="32"/>
              <w:pBdr>
                <w:bottom w:val="none" w:color="auto" w:sz="0" w:space="0"/>
              </w:pBdr>
              <w:tabs>
                <w:tab w:val="clear" w:pos="4153"/>
                <w:tab w:val="clear" w:pos="8306"/>
              </w:tabs>
              <w:adjustRightInd/>
              <w:spacing w:line="240" w:lineRule="auto"/>
              <w:textAlignment w:val="auto"/>
              <w:rPr>
                <w:rFonts w:hint="eastAsia"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rPr>
              <w:t>1</w:t>
            </w:r>
            <w:r>
              <w:rPr>
                <w:rFonts w:hint="eastAsia" w:ascii="Times New Roman" w:hAnsi="Times New Roman" w:eastAsia="宋体" w:cs="Times New Roman"/>
                <w:bCs/>
                <w:kern w:val="2"/>
                <w:sz w:val="21"/>
                <w:szCs w:val="21"/>
                <w:lang w:val="en-US" w:eastAsia="zh-CN"/>
              </w:rPr>
              <w:t>5</w:t>
            </w:r>
          </w:p>
        </w:tc>
        <w:tc>
          <w:tcPr>
            <w:tcW w:w="1072" w:type="pct"/>
            <w:vAlign w:val="center"/>
          </w:tcPr>
          <w:p>
            <w:pPr>
              <w:pStyle w:val="31"/>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outlineLvl w:val="3"/>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pPr>
        <w:spacing w:line="360" w:lineRule="auto"/>
        <w:ind w:firstLine="420" w:firstLineChars="200"/>
        <w:outlineLvl w:val="3"/>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w:t>
      </w:r>
      <w:r>
        <w:rPr>
          <w:rFonts w:hint="eastAsia" w:ascii="Times New Roman" w:hAnsi="Times New Roman" w:cs="Times New Roman"/>
          <w:szCs w:val="21"/>
          <w:lang w:eastAsia="zh-CN"/>
        </w:rPr>
        <w:t>正本1份、副本2份</w:t>
      </w:r>
      <w:r>
        <w:rPr>
          <w:rFonts w:ascii="Times New Roman" w:hAnsi="Times New Roman" w:cs="Times New Roman" w:eastAsiaTheme="minorEastAsia"/>
          <w:szCs w:val="21"/>
        </w:rPr>
        <w:t>。</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hint="eastAsia" w:ascii="Times New Roman" w:hAnsi="Times New Roman" w:cs="Times New Roman"/>
          <w:szCs w:val="21"/>
          <w:lang w:eastAsia="zh-CN"/>
        </w:rPr>
        <w:t>合肥政文国际会展管理有限公司</w:t>
      </w:r>
      <w:r>
        <w:rPr>
          <w:rFonts w:ascii="Times New Roman" w:hAnsi="Times New Roman" w:cs="Times New Roman" w:eastAsiaTheme="minorEastAsia"/>
          <w:szCs w:val="21"/>
        </w:rPr>
        <w:t>官网发布中标结果公告。</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outlineLvl w:val="3"/>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outlineLvl w:val="2"/>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pPr>
        <w:numPr>
          <w:ilvl w:val="0"/>
          <w:numId w:val="2"/>
        </w:numPr>
        <w:spacing w:line="360" w:lineRule="auto"/>
        <w:ind w:firstLine="482" w:firstLineChars="200"/>
        <w:outlineLvl w:val="1"/>
        <w:rPr>
          <w:rFonts w:hint="eastAsia" w:ascii="Times New Roman" w:hAnsi="Times New Roman"/>
          <w:b/>
          <w:sz w:val="24"/>
        </w:rPr>
      </w:pPr>
      <w:bookmarkStart w:id="6" w:name="_Toc19590"/>
      <w:r>
        <w:rPr>
          <w:rFonts w:hint="eastAsia" w:ascii="Times New Roman" w:hAnsi="Times New Roman"/>
          <w:b/>
          <w:sz w:val="24"/>
        </w:rPr>
        <w:t>项目概况</w:t>
      </w:r>
      <w:bookmarkEnd w:id="6"/>
    </w:p>
    <w:p>
      <w:pPr>
        <w:numPr>
          <w:ilvl w:val="0"/>
          <w:numId w:val="0"/>
        </w:numPr>
        <w:spacing w:line="360" w:lineRule="auto"/>
        <w:ind w:firstLine="420" w:firstLineChars="200"/>
        <w:rPr>
          <w:rFonts w:hint="eastAsia" w:ascii="Times New Roman" w:hAnsi="Times New Roman" w:eastAsiaTheme="minorEastAsia"/>
          <w:szCs w:val="21"/>
          <w:lang w:eastAsia="zh-CN"/>
        </w:rPr>
      </w:pPr>
      <w:r>
        <w:rPr>
          <w:rFonts w:hint="eastAsia" w:ascii="Times New Roman" w:hAnsi="Times New Roman"/>
          <w:szCs w:val="21"/>
        </w:rPr>
        <w:t>1</w:t>
      </w:r>
      <w:r>
        <w:rPr>
          <w:rFonts w:ascii="Times New Roman" w:hAnsi="Times New Roman"/>
          <w:szCs w:val="21"/>
        </w:rPr>
        <w:t>、项目位置</w:t>
      </w:r>
      <w:r>
        <w:rPr>
          <w:rFonts w:hint="eastAsia" w:ascii="Times New Roman" w:hAnsi="Times New Roman"/>
          <w:szCs w:val="21"/>
          <w:lang w:val="en-US" w:eastAsia="zh-CN"/>
        </w:rPr>
        <w:t>:</w:t>
      </w:r>
      <w:r>
        <w:rPr>
          <w:rFonts w:hint="eastAsia" w:ascii="Times New Roman" w:hAnsi="Times New Roman" w:cs="Times New Roman"/>
          <w:szCs w:val="21"/>
          <w:u w:val="single"/>
          <w:lang w:eastAsia="zh-CN"/>
        </w:rPr>
        <w:t>合肥滨湖会展中心</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2"/>
        <w:rPr>
          <w:rFonts w:hint="eastAsia"/>
          <w:u w:val="single"/>
          <w:lang w:eastAsia="zh-CN"/>
        </w:rPr>
      </w:pPr>
      <w:r>
        <w:rPr>
          <w:rFonts w:hint="eastAsia" w:ascii="Times New Roman" w:hAnsi="Times New Roman"/>
          <w:szCs w:val="21"/>
        </w:rPr>
        <w:t>2</w:t>
      </w:r>
      <w:r>
        <w:rPr>
          <w:rFonts w:ascii="Times New Roman" w:hAnsi="Times New Roman"/>
          <w:szCs w:val="21"/>
        </w:rPr>
        <w:t>、</w:t>
      </w:r>
      <w:r>
        <w:rPr>
          <w:rFonts w:hint="eastAsia"/>
        </w:rPr>
        <w:t>资产</w:t>
      </w:r>
      <w:r>
        <w:rPr>
          <w:rFonts w:hint="eastAsia"/>
          <w:lang w:eastAsia="zh-CN"/>
        </w:rPr>
        <w:t>明细：</w:t>
      </w:r>
      <w:r>
        <w:rPr>
          <w:rFonts w:hint="eastAsia"/>
          <w:u w:val="single"/>
          <w:lang w:eastAsia="zh-CN"/>
        </w:rPr>
        <w:t>广本雅阁车辆</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Times New Roman" w:hAnsi="Times New Roman" w:cs="Times New Roman"/>
          <w:b/>
          <w:bCs/>
          <w:sz w:val="24"/>
          <w:szCs w:val="18"/>
          <w:lang w:eastAsia="zh-CN"/>
        </w:rPr>
      </w:pPr>
      <w:r>
        <w:rPr>
          <w:rFonts w:ascii="Times New Roman" w:hAnsi="Times New Roman" w:cs="Times New Roman" w:eastAsiaTheme="minorEastAsia"/>
          <w:b/>
          <w:bCs/>
          <w:sz w:val="24"/>
          <w:szCs w:val="18"/>
        </w:rPr>
        <w:t>二、</w:t>
      </w:r>
      <w:r>
        <w:rPr>
          <w:rFonts w:hint="eastAsia" w:ascii="Times New Roman" w:hAnsi="Times New Roman" w:cs="Times New Roman"/>
          <w:b/>
          <w:bCs/>
          <w:sz w:val="24"/>
          <w:szCs w:val="18"/>
          <w:lang w:eastAsia="zh-CN"/>
        </w:rPr>
        <w:t>评估清单</w:t>
      </w:r>
    </w:p>
    <w:tbl>
      <w:tblPr>
        <w:tblStyle w:val="23"/>
        <w:tblW w:w="95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05"/>
        <w:gridCol w:w="5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70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存放位置</w:t>
            </w:r>
          </w:p>
        </w:tc>
        <w:tc>
          <w:tcPr>
            <w:tcW w:w="58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滨湖会展中心2号道口地下车库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车辆相关信息</w:t>
            </w:r>
          </w:p>
        </w:tc>
        <w:tc>
          <w:tcPr>
            <w:tcW w:w="5865" w:type="dxa"/>
            <w:tcBorders>
              <w:top w:val="nil"/>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出厂日期2004年9月13日，车辆型号HG7201，车辆识别代号LHGCM462142015558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1440" w:firstLineChars="600"/>
              <w:jc w:val="both"/>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原值</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249441元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0" w:hRule="atLeast"/>
        </w:trPr>
        <w:tc>
          <w:tcPr>
            <w:tcW w:w="0" w:type="auto"/>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1438275</wp:posOffset>
                  </wp:positionH>
                  <wp:positionV relativeFrom="paragraph">
                    <wp:posOffset>25400</wp:posOffset>
                  </wp:positionV>
                  <wp:extent cx="3125470" cy="3213100"/>
                  <wp:effectExtent l="0" t="0" r="17780" b="6350"/>
                  <wp:wrapNone/>
                  <wp:docPr id="5" name="图片_8"/>
                  <wp:cNvGraphicFramePr/>
                  <a:graphic xmlns:a="http://schemas.openxmlformats.org/drawingml/2006/main">
                    <a:graphicData uri="http://schemas.openxmlformats.org/drawingml/2006/picture">
                      <pic:pic xmlns:pic="http://schemas.openxmlformats.org/drawingml/2006/picture">
                        <pic:nvPicPr>
                          <pic:cNvPr id="5" name="图片_8"/>
                          <pic:cNvPicPr/>
                        </pic:nvPicPr>
                        <pic:blipFill>
                          <a:blip r:embed="rId8"/>
                          <a:stretch>
                            <a:fillRect/>
                          </a:stretch>
                        </pic:blipFill>
                        <pic:spPr>
                          <a:xfrm>
                            <a:off x="0" y="0"/>
                            <a:ext cx="3125470" cy="3213100"/>
                          </a:xfrm>
                          <a:prstGeom prst="rect">
                            <a:avLst/>
                          </a:prstGeom>
                          <a:noFill/>
                          <a:ln>
                            <a:noFill/>
                          </a:ln>
                        </pic:spPr>
                      </pic:pic>
                    </a:graphicData>
                  </a:graphic>
                </wp:anchor>
              </w:drawing>
            </w:r>
          </w:p>
        </w:tc>
      </w:tr>
    </w:tbl>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9"/>
        <w:rPr>
          <w:rFonts w:hint="eastAsia" w:ascii="Times New Roman" w:hAnsi="Times New Roman" w:cs="Times New Roman"/>
          <w:b/>
          <w:bCs/>
          <w:sz w:val="24"/>
          <w:szCs w:val="18"/>
          <w:lang w:val="en-US" w:eastAsia="zh-CN"/>
        </w:rPr>
      </w:pPr>
    </w:p>
    <w:p>
      <w:pPr>
        <w:spacing w:line="500" w:lineRule="exact"/>
        <w:jc w:val="left"/>
        <w:outlineLvl w:val="1"/>
        <w:rPr>
          <w:rFonts w:hint="eastAsia" w:ascii="Times New Roman" w:hAnsi="Times New Roman" w:cs="Times New Roman" w:eastAsiaTheme="minorEastAsia"/>
          <w:b/>
          <w:kern w:val="0"/>
          <w:sz w:val="24"/>
          <w:lang w:eastAsia="zh-CN"/>
        </w:rPr>
      </w:pPr>
      <w:bookmarkStart w:id="7" w:name="_Toc501460780"/>
      <w:bookmarkStart w:id="8" w:name="_Toc21575"/>
      <w:bookmarkStart w:id="9" w:name="_Toc29570"/>
      <w:r>
        <w:rPr>
          <w:rFonts w:ascii="Times New Roman" w:hAnsi="Times New Roman" w:cs="Times New Roman" w:eastAsiaTheme="minorEastAsia"/>
          <w:b/>
          <w:kern w:val="0"/>
          <w:sz w:val="24"/>
        </w:rPr>
        <w:t>三、</w:t>
      </w:r>
      <w:bookmarkEnd w:id="7"/>
      <w:bookmarkEnd w:id="8"/>
      <w:bookmarkEnd w:id="9"/>
      <w:r>
        <w:rPr>
          <w:rFonts w:hint="eastAsia" w:ascii="Times New Roman" w:hAnsi="Times New Roman" w:cs="Times New Roman"/>
          <w:b/>
          <w:kern w:val="0"/>
          <w:sz w:val="24"/>
          <w:lang w:eastAsia="zh-CN"/>
        </w:rPr>
        <w:t>服务内容</w:t>
      </w:r>
    </w:p>
    <w:p>
      <w:pPr>
        <w:spacing w:line="520" w:lineRule="exact"/>
        <w:ind w:firstLine="444" w:firstLineChars="200"/>
        <w:rPr>
          <w:rFonts w:asciiTheme="minorEastAsia" w:hAnsiTheme="minorEastAsia" w:cstheme="minorEastAsia"/>
          <w:spacing w:val="6"/>
          <w:szCs w:val="21"/>
        </w:rPr>
      </w:pPr>
      <w:bookmarkStart w:id="10" w:name="_Toc501460781"/>
      <w:bookmarkStart w:id="11" w:name="_Toc12083"/>
      <w:bookmarkStart w:id="12" w:name="_Toc11782"/>
      <w:r>
        <w:rPr>
          <w:rFonts w:hint="eastAsia" w:asciiTheme="minorEastAsia" w:hAnsiTheme="minorEastAsia" w:cstheme="minorEastAsia"/>
          <w:spacing w:val="6"/>
          <w:szCs w:val="21"/>
        </w:rPr>
        <w:t>1、投标人对</w:t>
      </w:r>
      <w:r>
        <w:rPr>
          <w:rFonts w:hint="eastAsia"/>
          <w:bCs/>
          <w:color w:val="000000"/>
          <w:u w:val="single"/>
          <w:lang w:val="en-US" w:eastAsia="zh-CN"/>
        </w:rPr>
        <w:t>广本雅阁车辆</w:t>
      </w:r>
      <w:r>
        <w:rPr>
          <w:rFonts w:hint="eastAsia" w:asciiTheme="minorEastAsia" w:hAnsiTheme="minorEastAsia" w:cstheme="minorEastAsia"/>
          <w:spacing w:val="6"/>
          <w:szCs w:val="21"/>
        </w:rPr>
        <w:t>进行资产评估</w:t>
      </w:r>
      <w:r>
        <w:rPr>
          <w:rFonts w:hint="eastAsia" w:asciiTheme="minorEastAsia" w:hAnsiTheme="minorEastAsia" w:cstheme="minorEastAsia"/>
          <w:spacing w:val="6"/>
          <w:szCs w:val="21"/>
          <w:lang w:eastAsia="zh-CN"/>
        </w:rPr>
        <w:t>，</w:t>
      </w:r>
      <w:r>
        <w:rPr>
          <w:rFonts w:hint="eastAsia" w:asciiTheme="minorEastAsia" w:hAnsiTheme="minorEastAsia" w:cstheme="minorEastAsia"/>
          <w:spacing w:val="6"/>
          <w:szCs w:val="21"/>
        </w:rPr>
        <w:t>并对应出具资产评估报告。</w:t>
      </w:r>
    </w:p>
    <w:p>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2、根据国家有关法规和行业规定，能够独立客观地进行鉴定评估。在签订委托合同，并且委托方提供完整的评估资料后，在约定时间内将评估报告书初稿报委托人审核并获取意见后72小时内出具评估报告。</w:t>
      </w:r>
    </w:p>
    <w:p>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3、投标人应当对被评估对象进行全面清查，根据委托方提供的资产清单，核实资产账面与实际是否相符，并据此作出鉴定。</w:t>
      </w:r>
    </w:p>
    <w:p>
      <w:pPr>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4、投标人应充分根据资产原值、净值、新旧程度、重置成本、获利能力等因素选用合适的资产评估方法；并优先在持续使用的假设前提下，进行评估。</w:t>
      </w:r>
    </w:p>
    <w:p>
      <w:pPr>
        <w:spacing w:line="500" w:lineRule="exact"/>
        <w:ind w:firstLine="444" w:firstLineChars="200"/>
        <w:jc w:val="left"/>
        <w:outlineLvl w:val="1"/>
        <w:rPr>
          <w:rFonts w:hint="eastAsia" w:asciiTheme="minorEastAsia" w:hAnsiTheme="minorEastAsia" w:cstheme="minorEastAsia"/>
          <w:spacing w:val="6"/>
          <w:szCs w:val="21"/>
        </w:rPr>
      </w:pPr>
      <w:r>
        <w:rPr>
          <w:rFonts w:hint="eastAsia" w:asciiTheme="minorEastAsia" w:hAnsiTheme="minorEastAsia" w:cstheme="minorEastAsia"/>
          <w:spacing w:val="6"/>
          <w:szCs w:val="21"/>
        </w:rPr>
        <w:t>5、投标人出具的资产评估报告应当完整、齐全内容、格式符合《企业国有资产评估报告指南》（中评协[2017]42号）的规定。</w:t>
      </w:r>
    </w:p>
    <w:p>
      <w:pPr>
        <w:spacing w:line="520" w:lineRule="exact"/>
        <w:outlineLvl w:val="1"/>
        <w:rPr>
          <w:rFonts w:asciiTheme="minorEastAsia" w:hAnsiTheme="minorEastAsia" w:cstheme="minorEastAsia"/>
          <w:b/>
          <w:szCs w:val="21"/>
        </w:rPr>
      </w:pPr>
      <w:r>
        <w:rPr>
          <w:rFonts w:ascii="Times New Roman" w:hAnsi="Times New Roman" w:cs="Times New Roman" w:eastAsiaTheme="minorEastAsia"/>
          <w:b/>
          <w:kern w:val="0"/>
          <w:sz w:val="24"/>
        </w:rPr>
        <w:t>四、</w:t>
      </w:r>
      <w:bookmarkEnd w:id="10"/>
      <w:bookmarkEnd w:id="11"/>
      <w:bookmarkEnd w:id="12"/>
      <w:r>
        <w:rPr>
          <w:rFonts w:hint="eastAsia" w:asciiTheme="minorEastAsia" w:hAnsiTheme="minorEastAsia" w:cstheme="minorEastAsia"/>
          <w:b/>
          <w:szCs w:val="21"/>
        </w:rPr>
        <w:t>服务期限要求：</w:t>
      </w:r>
    </w:p>
    <w:p>
      <w:pPr>
        <w:pStyle w:val="2"/>
        <w:numPr>
          <w:ilvl w:val="255"/>
          <w:numId w:val="0"/>
        </w:numPr>
        <w:spacing w:line="520" w:lineRule="exact"/>
        <w:ind w:firstLine="444" w:firstLineChars="200"/>
        <w:rPr>
          <w:rFonts w:ascii="宋体" w:hAnsi="宋体" w:eastAsia="宋体" w:cstheme="minorBidi"/>
          <w:kern w:val="0"/>
          <w:sz w:val="20"/>
        </w:rPr>
      </w:pPr>
      <w:r>
        <w:rPr>
          <w:rFonts w:hint="eastAsia" w:asciiTheme="minorEastAsia" w:hAnsiTheme="minorEastAsia" w:cstheme="minorEastAsia"/>
          <w:spacing w:val="6"/>
          <w:szCs w:val="21"/>
          <w:lang w:eastAsia="zh-CN"/>
        </w:rPr>
        <w:t>中标人</w:t>
      </w:r>
      <w:r>
        <w:rPr>
          <w:rFonts w:hint="eastAsia" w:asciiTheme="minorEastAsia" w:hAnsiTheme="minorEastAsia" w:cstheme="minorEastAsia"/>
          <w:spacing w:val="6"/>
          <w:szCs w:val="21"/>
        </w:rPr>
        <w:t>应自中标之日起7个工作日内完成资产评估工作，</w:t>
      </w:r>
      <w:r>
        <w:rPr>
          <w:rFonts w:hint="eastAsia" w:asciiTheme="minorEastAsia" w:hAnsiTheme="minorEastAsia" w:cstheme="minorEastAsia"/>
          <w:spacing w:val="6"/>
          <w:szCs w:val="21"/>
          <w:lang w:eastAsia="zh-CN"/>
        </w:rPr>
        <w:t>并</w:t>
      </w:r>
      <w:r>
        <w:rPr>
          <w:rFonts w:hint="eastAsia" w:asciiTheme="minorEastAsia" w:hAnsiTheme="minorEastAsia" w:cstheme="minorEastAsia"/>
          <w:spacing w:val="6"/>
          <w:szCs w:val="21"/>
        </w:rPr>
        <w:t>出具符合</w:t>
      </w:r>
      <w:r>
        <w:rPr>
          <w:rFonts w:hint="eastAsia" w:asciiTheme="minorEastAsia" w:hAnsiTheme="minorEastAsia" w:cstheme="minorEastAsia"/>
          <w:spacing w:val="6"/>
          <w:szCs w:val="21"/>
          <w:lang w:eastAsia="zh-CN"/>
        </w:rPr>
        <w:t>招标</w:t>
      </w:r>
      <w:r>
        <w:rPr>
          <w:rFonts w:hint="eastAsia" w:asciiTheme="minorEastAsia" w:hAnsiTheme="minorEastAsia" w:cstheme="minorEastAsia"/>
          <w:spacing w:val="6"/>
          <w:szCs w:val="21"/>
        </w:rPr>
        <w:t>人要求的评估报告。</w:t>
      </w:r>
      <w:bookmarkStart w:id="13" w:name="_Toc4751"/>
      <w:bookmarkStart w:id="14" w:name="_Toc5940"/>
    </w:p>
    <w:p>
      <w:pPr>
        <w:spacing w:line="500" w:lineRule="exact"/>
        <w:jc w:val="left"/>
        <w:outlineLvl w:val="1"/>
        <w:rPr>
          <w:rFonts w:ascii="Times New Roman" w:hAnsi="Times New Roman" w:cs="Times New Roman" w:eastAsiaTheme="minorEastAsia"/>
          <w:b/>
          <w:kern w:val="0"/>
          <w:sz w:val="24"/>
        </w:rPr>
      </w:pPr>
      <w:r>
        <w:rPr>
          <w:rFonts w:hint="eastAsia" w:ascii="Times New Roman" w:hAnsi="Times New Roman" w:cs="Times New Roman"/>
          <w:b/>
          <w:kern w:val="0"/>
          <w:sz w:val="24"/>
          <w:lang w:eastAsia="zh-CN"/>
        </w:rPr>
        <w:t>五</w:t>
      </w:r>
      <w:r>
        <w:rPr>
          <w:rFonts w:ascii="Times New Roman" w:hAnsi="Times New Roman" w:cs="Times New Roman" w:eastAsiaTheme="minorEastAsia"/>
          <w:b/>
          <w:kern w:val="0"/>
          <w:sz w:val="24"/>
        </w:rPr>
        <w:t>、报价要求</w:t>
      </w:r>
      <w:bookmarkEnd w:id="13"/>
      <w:bookmarkEnd w:id="14"/>
    </w:p>
    <w:p>
      <w:pPr>
        <w:adjustRightInd w:val="0"/>
        <w:snapToGrid w:val="0"/>
        <w:spacing w:line="520" w:lineRule="exact"/>
        <w:ind w:firstLine="444" w:firstLineChars="200"/>
        <w:rPr>
          <w:rFonts w:asciiTheme="minorEastAsia" w:hAnsiTheme="minorEastAsia" w:cstheme="minorEastAsia"/>
          <w:spacing w:val="6"/>
          <w:szCs w:val="21"/>
        </w:rPr>
      </w:pPr>
      <w:bookmarkStart w:id="15" w:name="_Toc5032"/>
      <w:r>
        <w:rPr>
          <w:rFonts w:hint="eastAsia" w:asciiTheme="minorEastAsia" w:hAnsiTheme="minorEastAsia" w:cstheme="minorEastAsia"/>
          <w:spacing w:val="6"/>
          <w:szCs w:val="21"/>
        </w:rPr>
        <w:t>1、本项目采用总价报价，投标单位报投标总价不得高于项目概算金额，该总价包括但不限于投标单位的人工费、保险费、福利费、审计费、利润、税金及完成项目应有的全部费用。以投标总价作为评标依据，报价相同的，</w:t>
      </w:r>
      <w:bookmarkStart w:id="16" w:name="_Hlk514735510"/>
      <w:r>
        <w:rPr>
          <w:rFonts w:hint="eastAsia" w:asciiTheme="minorEastAsia" w:hAnsiTheme="minorEastAsia" w:cstheme="minorEastAsia"/>
          <w:spacing w:val="6"/>
          <w:szCs w:val="21"/>
        </w:rPr>
        <w:t>则采取评标委员会抽签方式确定中标单位。</w:t>
      </w:r>
      <w:bookmarkEnd w:id="16"/>
    </w:p>
    <w:p>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2、投标人需提前自行对项目现场和周围环境进行勘察，勘查现场所发生的费用由投标人自行承担。</w:t>
      </w:r>
    </w:p>
    <w:p>
      <w:pPr>
        <w:adjustRightInd w:val="0"/>
        <w:snapToGrid w:val="0"/>
        <w:spacing w:line="520" w:lineRule="exact"/>
        <w:ind w:firstLine="444" w:firstLineChars="200"/>
        <w:rPr>
          <w:rFonts w:asciiTheme="minorEastAsia" w:hAnsiTheme="minorEastAsia" w:cstheme="minorEastAsia"/>
          <w:b/>
          <w:szCs w:val="21"/>
        </w:rPr>
      </w:pPr>
      <w:r>
        <w:rPr>
          <w:rFonts w:hint="eastAsia" w:asciiTheme="minorEastAsia" w:hAnsiTheme="minorEastAsia" w:cstheme="minorEastAsia"/>
          <w:spacing w:val="6"/>
          <w:szCs w:val="21"/>
        </w:rPr>
        <w:t>3、投标总价包括本次评估全部内容及工期的成本、利润、税金、运输费、损耗等所有费用。</w:t>
      </w:r>
    </w:p>
    <w:p>
      <w:pPr>
        <w:spacing w:line="440" w:lineRule="exac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4、投标报价总价不得高于项目概算。</w:t>
      </w:r>
    </w:p>
    <w:bookmarkEnd w:id="15"/>
    <w:p>
      <w:pPr>
        <w:spacing w:line="360" w:lineRule="auto"/>
        <w:outlineLvl w:val="1"/>
        <w:rPr>
          <w:rFonts w:asciiTheme="minorEastAsia" w:hAnsiTheme="minorEastAsia" w:cstheme="minorEastAsia"/>
          <w:b/>
          <w:szCs w:val="21"/>
        </w:rPr>
      </w:pPr>
      <w:r>
        <w:rPr>
          <w:rFonts w:hint="eastAsia" w:asciiTheme="minorEastAsia" w:hAnsiTheme="minorEastAsia" w:cstheme="minorEastAsia"/>
          <w:b/>
          <w:szCs w:val="21"/>
        </w:rPr>
        <w:t>六、付款方式</w:t>
      </w:r>
    </w:p>
    <w:p>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中标人与委托人签订合同，中标人完成全部评估并出具符合委托人要求的评估报告后30日内一次性支付评估费用。</w:t>
      </w:r>
    </w:p>
    <w:p>
      <w:pPr>
        <w:adjustRightInd w:val="0"/>
        <w:snapToGrid w:val="0"/>
        <w:spacing w:line="520" w:lineRule="exact"/>
        <w:ind w:firstLine="444" w:firstLineChars="200"/>
        <w:rPr>
          <w:rFonts w:asciiTheme="minorEastAsia" w:hAnsiTheme="minorEastAsia" w:cstheme="minorEastAsia"/>
          <w:spacing w:val="6"/>
          <w:szCs w:val="21"/>
        </w:rPr>
      </w:pPr>
      <w:r>
        <w:rPr>
          <w:rFonts w:hint="eastAsia" w:asciiTheme="minorEastAsia" w:hAnsiTheme="minorEastAsia" w:cstheme="minorEastAsia"/>
          <w:spacing w:val="6"/>
          <w:szCs w:val="21"/>
        </w:rPr>
        <w:t>注：（1）在招标人付款前，中标人需向招标人交付等额的增值税专用发票，否则招标人有权拒绝或者延迟付款，且不承担违约责任。</w:t>
      </w:r>
    </w:p>
    <w:p>
      <w:pPr>
        <w:adjustRightInd w:val="0"/>
        <w:snapToGrid w:val="0"/>
        <w:spacing w:line="520" w:lineRule="exact"/>
        <w:ind w:firstLine="444" w:firstLineChars="200"/>
        <w:rPr>
          <w:rFonts w:eastAsia="宋体"/>
          <w:spacing w:val="6"/>
          <w:sz w:val="28"/>
          <w:szCs w:val="28"/>
        </w:rPr>
      </w:pPr>
      <w:r>
        <w:rPr>
          <w:rFonts w:hint="eastAsia" w:asciiTheme="minorEastAsia" w:hAnsiTheme="minorEastAsia" w:cstheme="minorEastAsia"/>
          <w:spacing w:val="6"/>
          <w:szCs w:val="21"/>
        </w:rPr>
        <w:t>（2）投标人提交的投标文件中如有关于付款条件的表述与询价文件规定不符，投标无效。</w:t>
      </w:r>
    </w:p>
    <w:p>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0"/>
        <w:rPr>
          <w:rFonts w:ascii="Times New Roman" w:hAnsi="Times New Roman" w:cs="Times New Roman" w:eastAsiaTheme="minorEastAsia"/>
          <w:b/>
          <w:sz w:val="28"/>
        </w:rPr>
      </w:pPr>
      <w:bookmarkStart w:id="17" w:name="_Toc17615"/>
      <w:r>
        <w:rPr>
          <w:rFonts w:ascii="Times New Roman" w:hAnsi="Times New Roman" w:cs="Times New Roman" w:eastAsiaTheme="minorEastAsia"/>
          <w:b/>
          <w:sz w:val="28"/>
        </w:rPr>
        <w:t>第四章  评审方法和标准</w:t>
      </w:r>
      <w:bookmarkEnd w:id="17"/>
    </w:p>
    <w:p>
      <w:pPr>
        <w:spacing w:line="360" w:lineRule="auto"/>
        <w:ind w:firstLine="437"/>
        <w:outlineLvl w:val="1"/>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1"/>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18"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outlineLvl w:val="2"/>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3"/>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919"/>
        <w:gridCol w:w="5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9"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pPr>
              <w:pStyle w:val="32"/>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3"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3"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p>
        </w:tc>
        <w:tc>
          <w:tcPr>
            <w:tcW w:w="3323"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lang w:eastAsia="zh-CN"/>
              </w:rPr>
            </w:pPr>
            <w:r>
              <w:rPr>
                <w:rFonts w:ascii="Times New Roman" w:hAnsi="Times New Roman" w:cs="Times New Roman" w:eastAsiaTheme="majorEastAsia"/>
                <w:szCs w:val="21"/>
              </w:rPr>
              <w:t>符合投标人资格中本项目的特定资格要求，提供符合投标人资格中要求的资质证书扫描件</w:t>
            </w:r>
            <w:r>
              <w:rPr>
                <w:rFonts w:hint="eastAsia" w:ascii="Times New Roman" w:hAnsi="Times New Roman" w:cs="Times New Roman" w:eastAsiaTheme="majorEastAsia"/>
                <w:szCs w:val="21"/>
                <w:lang w:eastAsia="zh-CN"/>
              </w:rPr>
              <w:t>（仅提供营业执照，由评标委员会现场审核）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3"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3"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3"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3"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8"/>
      <w:bookmarkEnd w:id="19"/>
    </w:tbl>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20" w:name="_Toc28197"/>
      <w:r>
        <w:rPr>
          <w:rFonts w:ascii="Times New Roman" w:hAnsi="Times New Roman" w:cs="Times New Roman" w:eastAsiaTheme="minorEastAsia"/>
          <w:b/>
          <w:sz w:val="28"/>
        </w:rPr>
        <w:t>第五章  合同</w:t>
      </w:r>
      <w:bookmarkEnd w:id="20"/>
    </w:p>
    <w:p>
      <w:pPr>
        <w:ind w:left="420"/>
        <w:jc w:val="center"/>
        <w:rPr>
          <w:rFonts w:hint="eastAsia"/>
          <w:b/>
          <w:color w:val="000000"/>
          <w:sz w:val="48"/>
          <w:szCs w:val="48"/>
        </w:rPr>
      </w:pPr>
      <w:r>
        <w:rPr>
          <w:rFonts w:hint="eastAsia"/>
          <w:b/>
          <w:color w:val="000000"/>
          <w:sz w:val="48"/>
          <w:szCs w:val="48"/>
          <w:lang w:val="en-US" w:eastAsia="zh-CN"/>
        </w:rPr>
        <w:t>合肥滨湖会展中心闲置车辆评估项目</w:t>
      </w:r>
    </w:p>
    <w:p>
      <w:pPr>
        <w:rPr>
          <w:b/>
          <w:color w:val="000000"/>
          <w:sz w:val="52"/>
          <w:szCs w:val="52"/>
        </w:rPr>
      </w:pPr>
    </w:p>
    <w:p>
      <w:pPr>
        <w:widowControl/>
        <w:spacing w:before="109" w:line="440" w:lineRule="atLeast"/>
        <w:ind w:firstLine="640"/>
        <w:rPr>
          <w:rFonts w:ascii="黑体" w:hAnsi="Times New Roman" w:eastAsia="黑体"/>
          <w:color w:val="000000"/>
          <w:kern w:val="0"/>
          <w:sz w:val="32"/>
          <w:szCs w:val="32"/>
        </w:rPr>
      </w:pPr>
    </w:p>
    <w:p>
      <w:pPr>
        <w:ind w:firstLine="199" w:firstLineChars="95"/>
        <w:rPr>
          <w:rFonts w:ascii="宋体" w:hAnsi="宋体"/>
          <w:color w:val="000000"/>
        </w:rPr>
      </w:pPr>
    </w:p>
    <w:p>
      <w:pPr>
        <w:ind w:firstLine="199" w:firstLineChars="95"/>
        <w:rPr>
          <w:rFonts w:ascii="宋体" w:hAnsi="宋体"/>
          <w:color w:val="000000"/>
        </w:rPr>
      </w:pPr>
    </w:p>
    <w:p>
      <w:pPr>
        <w:ind w:firstLine="199" w:firstLineChars="95"/>
        <w:rPr>
          <w:rFonts w:ascii="宋体" w:hAnsi="宋体"/>
          <w:color w:val="000000"/>
        </w:rPr>
      </w:pPr>
    </w:p>
    <w:p>
      <w:pPr>
        <w:ind w:firstLine="199" w:firstLineChars="95"/>
        <w:rPr>
          <w:rFonts w:ascii="宋体" w:hAnsi="宋体"/>
          <w:color w:val="000000"/>
        </w:rPr>
      </w:pPr>
    </w:p>
    <w:p>
      <w:pPr>
        <w:ind w:firstLine="199" w:firstLineChars="95"/>
        <w:rPr>
          <w:rFonts w:ascii="宋体" w:hAnsi="宋体"/>
          <w:color w:val="000000"/>
        </w:rPr>
      </w:pPr>
    </w:p>
    <w:p>
      <w:pPr>
        <w:ind w:firstLine="199" w:firstLineChars="95"/>
        <w:rPr>
          <w:rFonts w:ascii="宋体" w:hAnsi="宋体"/>
          <w:color w:val="000000"/>
        </w:rPr>
      </w:pPr>
    </w:p>
    <w:p>
      <w:pPr>
        <w:ind w:firstLine="199" w:firstLineChars="95"/>
        <w:rPr>
          <w:rFonts w:ascii="宋体" w:hAnsi="宋体"/>
          <w:color w:val="000000"/>
        </w:rPr>
      </w:pPr>
    </w:p>
    <w:p>
      <w:pPr>
        <w:pStyle w:val="7"/>
        <w:outlineLvl w:val="9"/>
      </w:pPr>
    </w:p>
    <w:p/>
    <w:p>
      <w:pPr>
        <w:ind w:firstLine="199" w:firstLineChars="95"/>
        <w:rPr>
          <w:rFonts w:ascii="宋体" w:hAnsi="宋体"/>
          <w:color w:val="000000"/>
        </w:rPr>
      </w:pPr>
    </w:p>
    <w:p>
      <w:pPr>
        <w:pStyle w:val="11"/>
        <w:ind w:firstLine="199" w:firstLineChars="95"/>
        <w:rPr>
          <w:rFonts w:ascii="宋体" w:hAnsi="宋体"/>
          <w:color w:val="000000"/>
        </w:rPr>
      </w:pPr>
    </w:p>
    <w:p>
      <w:pPr>
        <w:pStyle w:val="11"/>
        <w:ind w:firstLine="199" w:firstLineChars="95"/>
        <w:rPr>
          <w:rFonts w:ascii="宋体" w:hAnsi="宋体"/>
          <w:color w:val="000000"/>
        </w:rPr>
      </w:pPr>
    </w:p>
    <w:p>
      <w:pPr>
        <w:pStyle w:val="11"/>
        <w:ind w:firstLine="199" w:firstLineChars="95"/>
        <w:rPr>
          <w:rFonts w:ascii="宋体" w:hAnsi="宋体"/>
          <w:color w:val="000000"/>
        </w:rPr>
      </w:pPr>
    </w:p>
    <w:p>
      <w:pPr>
        <w:pStyle w:val="11"/>
        <w:ind w:firstLine="199" w:firstLineChars="95"/>
        <w:rPr>
          <w:rFonts w:ascii="宋体" w:hAnsi="宋体"/>
          <w:color w:val="000000"/>
        </w:rPr>
      </w:pPr>
    </w:p>
    <w:p>
      <w:pPr>
        <w:pStyle w:val="11"/>
        <w:ind w:firstLine="199" w:firstLineChars="95"/>
        <w:rPr>
          <w:rFonts w:ascii="宋体" w:hAnsi="宋体"/>
          <w:color w:val="000000"/>
        </w:rPr>
      </w:pPr>
    </w:p>
    <w:p>
      <w:pPr>
        <w:jc w:val="left"/>
        <w:rPr>
          <w:rFonts w:ascii="宋体" w:hAnsi="宋体"/>
          <w:color w:val="000000"/>
        </w:rPr>
      </w:pPr>
    </w:p>
    <w:p>
      <w:pPr>
        <w:jc w:val="left"/>
        <w:rPr>
          <w:rFonts w:ascii="宋体" w:hAnsi="宋体"/>
          <w:color w:val="000000"/>
        </w:rPr>
      </w:pPr>
    </w:p>
    <w:p>
      <w:pPr>
        <w:ind w:firstLine="562" w:firstLineChars="200"/>
        <w:jc w:val="left"/>
        <w:rPr>
          <w:rFonts w:ascii="宋体" w:hAnsi="宋体"/>
          <w:b/>
          <w:color w:val="000000"/>
          <w:sz w:val="28"/>
          <w:szCs w:val="28"/>
        </w:rPr>
      </w:pPr>
      <w:r>
        <w:rPr>
          <w:rFonts w:hint="eastAsia" w:ascii="宋体" w:hAnsi="宋体"/>
          <w:b/>
          <w:color w:val="000000"/>
          <w:sz w:val="28"/>
          <w:szCs w:val="28"/>
        </w:rPr>
        <w:t>委托人：</w:t>
      </w:r>
      <w:r>
        <w:rPr>
          <w:rFonts w:hint="eastAsia" w:ascii="宋体" w:hAnsi="宋体"/>
          <w:b/>
          <w:color w:val="000000"/>
          <w:sz w:val="28"/>
          <w:szCs w:val="28"/>
          <w:lang w:eastAsia="zh-CN"/>
        </w:rPr>
        <w:t>合肥政文国际会展管理有限公司</w:t>
      </w:r>
    </w:p>
    <w:p>
      <w:pPr>
        <w:ind w:firstLine="562" w:firstLineChars="200"/>
        <w:jc w:val="left"/>
        <w:rPr>
          <w:rFonts w:ascii="宋体" w:hAnsi="宋体"/>
          <w:color w:val="000000"/>
          <w:sz w:val="28"/>
          <w:szCs w:val="28"/>
          <w:u w:val="single"/>
        </w:rPr>
      </w:pPr>
      <w:r>
        <w:rPr>
          <w:rFonts w:hint="eastAsia" w:ascii="宋体" w:hAnsi="宋体"/>
          <w:b/>
          <w:color w:val="000000"/>
          <w:sz w:val="28"/>
          <w:szCs w:val="28"/>
        </w:rPr>
        <w:t>受托人：</w:t>
      </w:r>
    </w:p>
    <w:p>
      <w:pPr>
        <w:ind w:firstLine="551" w:firstLineChars="196"/>
        <w:rPr>
          <w:rFonts w:ascii="宋体" w:hAnsi="宋体" w:cs="宋体"/>
          <w:color w:val="000000"/>
          <w:kern w:val="0"/>
          <w:sz w:val="20"/>
          <w:szCs w:val="20"/>
        </w:rPr>
      </w:pPr>
      <w:r>
        <w:rPr>
          <w:rFonts w:hint="eastAsia" w:ascii="宋体" w:hAnsi="宋体"/>
          <w:b/>
          <w:color w:val="000000"/>
          <w:sz w:val="28"/>
          <w:szCs w:val="28"/>
        </w:rPr>
        <w:t>合同编号：</w:t>
      </w:r>
    </w:p>
    <w:p>
      <w:pPr>
        <w:spacing w:line="360" w:lineRule="auto"/>
        <w:rPr>
          <w:rFonts w:ascii="宋体" w:hAnsi="宋体"/>
          <w:color w:val="000000"/>
          <w:sz w:val="24"/>
        </w:rPr>
        <w:sectPr>
          <w:type w:val="continuous"/>
          <w:pgSz w:w="11906" w:h="16838"/>
          <w:pgMar w:top="1440" w:right="1800" w:bottom="1440" w:left="1800" w:header="851" w:footer="992" w:gutter="0"/>
          <w:cols w:space="425" w:num="1"/>
          <w:docGrid w:type="lines" w:linePitch="312" w:charSpace="0"/>
        </w:sectPr>
      </w:pPr>
    </w:p>
    <w:p>
      <w:pPr>
        <w:pStyle w:val="60"/>
        <w:spacing w:line="520" w:lineRule="atLeast"/>
        <w:ind w:firstLine="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委托方（甲方）：合肥政文国际会展管理有限公司</w:t>
      </w:r>
    </w:p>
    <w:p>
      <w:pPr>
        <w:pStyle w:val="60"/>
        <w:spacing w:line="520" w:lineRule="atLeast"/>
        <w:ind w:firstLine="0"/>
        <w:jc w:val="both"/>
        <w:rPr>
          <w:rFonts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受托方（乙方）：</w:t>
      </w:r>
      <w:r>
        <w:rPr>
          <w:rFonts w:hint="eastAsia" w:asciiTheme="minorEastAsia" w:hAnsiTheme="minorEastAsia" w:eastAsiaTheme="minorEastAsia" w:cstheme="minorEastAsia"/>
          <w:sz w:val="21"/>
          <w:szCs w:val="21"/>
          <w:lang w:val="en-US" w:eastAsia="zh-CN"/>
        </w:rPr>
        <w:t xml:space="preserve">    </w:t>
      </w:r>
    </w:p>
    <w:p>
      <w:pPr>
        <w:pStyle w:val="60"/>
        <w:spacing w:line="520" w:lineRule="atLeast"/>
        <w:ind w:firstLine="620"/>
        <w:jc w:val="both"/>
        <w:rPr>
          <w:rFonts w:asciiTheme="minorEastAsia" w:hAnsiTheme="minorEastAsia" w:eastAsiaTheme="minorEastAsia" w:cstheme="minorEastAsia"/>
          <w:sz w:val="21"/>
          <w:szCs w:val="21"/>
          <w:lang w:val="en-US" w:eastAsia="zh-CN"/>
        </w:rPr>
      </w:pP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甲乙双方根据《中华人民共和国民法典》及《资产评估执业准则——资产评估委托合同》的规定，为明确双方的权利和义务，经双方协商同意签订本合同。</w:t>
      </w:r>
    </w:p>
    <w:p>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一、评估目的：</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资产评估，对该经济行为所涉及的资产于评估基准日的市场价值进行评估，本次评估为上述经济行为提供价值参考依据。</w:t>
      </w:r>
    </w:p>
    <w:p>
      <w:pPr>
        <w:snapToGrid w:val="0"/>
        <w:spacing w:line="520" w:lineRule="atLeast"/>
        <w:ind w:firstLine="422" w:firstLineChars="200"/>
        <w:rPr>
          <w:rFonts w:hint="eastAsia" w:asciiTheme="minorEastAsia" w:hAnsiTheme="minorEastAsia" w:cstheme="minorEastAsia"/>
          <w:szCs w:val="21"/>
        </w:rPr>
      </w:pPr>
      <w:r>
        <w:rPr>
          <w:rFonts w:hint="eastAsia" w:asciiTheme="minorEastAsia" w:hAnsiTheme="minorEastAsia" w:cstheme="minorEastAsia"/>
          <w:b/>
          <w:szCs w:val="21"/>
        </w:rPr>
        <w:t>二、评估对象和评估范围：</w:t>
      </w:r>
      <w:r>
        <w:rPr>
          <w:rFonts w:hint="eastAsia" w:asciiTheme="minorEastAsia" w:hAnsiTheme="minorEastAsia" w:cstheme="minorEastAsia"/>
          <w:szCs w:val="21"/>
        </w:rPr>
        <w:t>评估对象为</w:t>
      </w:r>
      <w:r>
        <w:rPr>
          <w:rFonts w:hint="eastAsia"/>
          <w:bCs/>
          <w:color w:val="000000"/>
          <w:u w:val="single"/>
          <w:lang w:val="en-US" w:eastAsia="zh-CN"/>
        </w:rPr>
        <w:t>合肥滨湖会展中心闲置车辆</w:t>
      </w:r>
      <w:r>
        <w:rPr>
          <w:rFonts w:hint="eastAsia" w:asciiTheme="minorEastAsia" w:hAnsiTheme="minorEastAsia" w:cstheme="minorEastAsia"/>
          <w:szCs w:val="21"/>
        </w:rPr>
        <w:t>资产的市场价值；评估范围为</w:t>
      </w:r>
      <w:r>
        <w:rPr>
          <w:rFonts w:hint="eastAsia"/>
          <w:bCs/>
          <w:color w:val="000000"/>
          <w:u w:val="single"/>
          <w:lang w:val="en-US" w:eastAsia="zh-CN"/>
        </w:rPr>
        <w:t>合肥滨湖会展中心闲置车辆</w:t>
      </w:r>
      <w:r>
        <w:rPr>
          <w:rFonts w:hint="eastAsia" w:ascii="宋体" w:hAnsi="宋体" w:eastAsia="宋体" w:cs="宋体"/>
          <w:sz w:val="21"/>
          <w:szCs w:val="21"/>
          <w:u w:val="single"/>
          <w:lang w:val="en-US" w:eastAsia="zh-CN"/>
        </w:rPr>
        <w:t>的残余价值</w:t>
      </w:r>
      <w:r>
        <w:rPr>
          <w:rFonts w:hint="eastAsia" w:asciiTheme="minorEastAsia" w:hAnsiTheme="minorEastAsia" w:cstheme="minorEastAsia"/>
          <w:szCs w:val="21"/>
        </w:rPr>
        <w:t>。</w:t>
      </w:r>
    </w:p>
    <w:p>
      <w:pPr>
        <w:snapToGrid w:val="0"/>
        <w:spacing w:line="520" w:lineRule="atLeast"/>
        <w:ind w:firstLine="422" w:firstLineChars="200"/>
        <w:rPr>
          <w:rFonts w:asciiTheme="minorEastAsia" w:hAnsiTheme="minorEastAsia" w:cstheme="minorEastAsia"/>
          <w:szCs w:val="21"/>
        </w:rPr>
      </w:pPr>
      <w:r>
        <w:rPr>
          <w:rFonts w:hint="eastAsia" w:asciiTheme="minorEastAsia" w:hAnsiTheme="minorEastAsia" w:cstheme="minorEastAsia"/>
          <w:b/>
          <w:szCs w:val="21"/>
        </w:rPr>
        <w:t>三、评估基准日：</w:t>
      </w:r>
      <w:r>
        <w:rPr>
          <w:rFonts w:hint="eastAsia" w:asciiTheme="minorEastAsia" w:hAnsiTheme="minorEastAsia" w:cstheme="minorEastAsia"/>
          <w:szCs w:val="21"/>
        </w:rPr>
        <w:t xml:space="preserve"> 2024年 月   日</w:t>
      </w:r>
    </w:p>
    <w:p>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四、资产评估报告适用范围：</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1、资产评估报告仅供甲方和法律、行政法规规定的使用人使用，甲方可以授权其他第三方单位使用本资产评估报告，除此之外，其他任何机构和个人不能成为资产评估报告使用人。</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及其他资产评估报告使用人应按照法律、行政法规的规定和资产评估报告载明的使用目的及用途使用资产评估报告。甲方或其他资产评估报告使用人违反前述约定使用资产评估报告的，乙方及其专业人员不承担责任。</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3、甲方及其他资产评估报告使用人应当在资产评估报告载明的评估结论使用有效期内使用资产评估报告。</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4、未经甲方书面许可，乙方及其专业人员不得将资产评估报告的内容向第三方提供或公开，法律、行政法规另有规定的除外。</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5、未征得乙方同意，甲方及其他资产评估报告使用人不得将资产评估报告的内容摘抄、引用或者披露于公开媒体，法律、行政法规规定以及相关当事人另有约定的除外。</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五、资产评估报告提交期限和方式：</w:t>
      </w:r>
    </w:p>
    <w:p>
      <w:pPr>
        <w:widowControl/>
        <w:snapToGrid w:val="0"/>
        <w:spacing w:line="520" w:lineRule="atLeas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1、提交期限：自甲方和其他相关当事人完全、如实地提供乙方评估所需所有资料后，在约定时间内将评估报告书初稿报甲方审核，在获取甲方意见后72小时内出具正式评估报告；但自受托之日起，正式评估报告出具时间不得超过7个工作日。</w:t>
      </w:r>
    </w:p>
    <w:p>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2、提交方式：资产评估报告的电子版及纸质版一式  份，邮寄或直接送达给甲方。</w:t>
      </w:r>
    </w:p>
    <w:p>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b/>
          <w:bCs/>
          <w:szCs w:val="21"/>
        </w:rPr>
        <w:t>乙方应当对被评估对象进行全面清查，根据甲方提供的资产清单，核实资产账面与</w:t>
      </w:r>
      <w:r>
        <w:rPr>
          <w:rFonts w:hint="eastAsia" w:asciiTheme="minorEastAsia" w:hAnsiTheme="minorEastAsia" w:cstheme="minorEastAsia"/>
          <w:b/>
          <w:bCs/>
          <w:szCs w:val="21"/>
          <w:lang w:eastAsia="zh-CN"/>
        </w:rPr>
        <w:t>重量</w:t>
      </w:r>
      <w:r>
        <w:rPr>
          <w:rFonts w:hint="eastAsia" w:asciiTheme="minorEastAsia" w:hAnsiTheme="minorEastAsia" w:cstheme="minorEastAsia"/>
          <w:b/>
          <w:bCs/>
          <w:szCs w:val="21"/>
        </w:rPr>
        <w:t>实际是否相符，并据此作出鉴定。</w:t>
      </w:r>
    </w:p>
    <w:p>
      <w:pPr>
        <w:widowControl/>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4、乙方应充分根据资产原值、净值、新旧程度、重置成本、获利能力等因素选用合适的资产评估方法；并优先在被评估资产将被持续使用的假设前提下，进行评估。</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六、评估服务费：</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1、本合同评估服务费：</w:t>
      </w:r>
      <w:r>
        <w:rPr>
          <w:rFonts w:hint="eastAsia"/>
          <w:bCs/>
          <w:color w:val="000000"/>
          <w:u w:val="single"/>
          <w:lang w:val="en-US" w:eastAsia="zh-CN"/>
        </w:rPr>
        <w:t>合肥滨湖会展中心闲置车辆评估项目</w:t>
      </w:r>
      <w:r>
        <w:rPr>
          <w:rFonts w:hint="eastAsia" w:asciiTheme="minorEastAsia" w:hAnsiTheme="minorEastAsia" w:cstheme="minorEastAsia"/>
          <w:szCs w:val="21"/>
        </w:rPr>
        <w:t>资产评估服务费为   元（大写：   ）。</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2、上述评估服务费包括本次评估全部内容及工期的成本、利润、税金、运输费、损耗等所有费用，除此之外，甲方无需就本合同项下服务向乙方或第三方支付任何其他费用。</w:t>
      </w:r>
    </w:p>
    <w:p>
      <w:pPr>
        <w:adjustRightInd w:val="0"/>
        <w:snapToGrid w:val="0"/>
        <w:spacing w:line="520" w:lineRule="exact"/>
        <w:ind w:firstLine="420" w:firstLineChars="200"/>
        <w:jc w:val="left"/>
        <w:rPr>
          <w:rFonts w:asciiTheme="minorEastAsia" w:hAnsiTheme="minorEastAsia" w:cstheme="minorEastAsia"/>
          <w:b/>
          <w:bCs/>
          <w:szCs w:val="21"/>
        </w:rPr>
      </w:pPr>
      <w:r>
        <w:rPr>
          <w:rFonts w:hint="eastAsia" w:asciiTheme="minorEastAsia" w:hAnsiTheme="minorEastAsia" w:cstheme="minorEastAsia"/>
          <w:szCs w:val="21"/>
        </w:rPr>
        <w:t>3、付款方式：</w:t>
      </w:r>
      <w:r>
        <w:rPr>
          <w:rFonts w:hint="eastAsia"/>
          <w:b/>
          <w:bCs/>
        </w:rPr>
        <w:t>乙方完成全部评估并出具符合甲方要求的评估报告</w:t>
      </w:r>
      <w:r>
        <w:rPr>
          <w:rFonts w:hint="eastAsia"/>
          <w:b/>
          <w:bCs/>
          <w:lang w:eastAsia="zh-CN"/>
        </w:rPr>
        <w:t>，</w:t>
      </w:r>
      <w:r>
        <w:rPr>
          <w:rFonts w:hint="eastAsia"/>
          <w:b/>
          <w:bCs/>
          <w:lang w:val="en-US" w:eastAsia="zh-CN"/>
        </w:rPr>
        <w:t>经甲方确认无误且通过有关部门审核</w:t>
      </w:r>
      <w:r>
        <w:rPr>
          <w:rFonts w:hint="eastAsia"/>
          <w:b/>
          <w:bCs/>
        </w:rPr>
        <w:t>后30日内一次性支付评估费用。</w:t>
      </w:r>
      <w:r>
        <w:rPr>
          <w:rFonts w:hint="eastAsia" w:asciiTheme="minorEastAsia" w:hAnsiTheme="minorEastAsia" w:cstheme="minorEastAsia"/>
          <w:b/>
          <w:bCs/>
          <w:spacing w:val="6"/>
          <w:szCs w:val="21"/>
        </w:rPr>
        <w:t>在甲方付款前，乙方需向甲方交付等额的增值税专用发票，否则甲方有权拒绝或者延迟付款，且不承担违约责任。</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4、若评估范围或评估基准日发生变化，双方应签订补充协议或重新签订资产评估委托合同，评估服务费另议。</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w:t>
      </w:r>
      <w:r>
        <w:rPr>
          <w:rFonts w:hint="eastAsia" w:asciiTheme="minorEastAsia" w:hAnsiTheme="minorEastAsia" w:cstheme="minorEastAsia"/>
          <w:szCs w:val="21"/>
          <w:lang w:val="en-US" w:eastAsia="zh-CN"/>
        </w:rPr>
        <w:t>因甲方</w:t>
      </w:r>
      <w:r>
        <w:rPr>
          <w:rFonts w:hint="eastAsia" w:asciiTheme="minorEastAsia" w:hAnsiTheme="minorEastAsia" w:cstheme="minorEastAsia"/>
          <w:szCs w:val="21"/>
        </w:rPr>
        <w:t>原因造成评估业务中止，甲方应按乙方已完成的评估工作量向乙方支付相应的评估服务费。</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6</w:t>
      </w:r>
      <w:r>
        <w:rPr>
          <w:rFonts w:hint="eastAsia" w:asciiTheme="minorEastAsia" w:hAnsiTheme="minorEastAsia" w:cstheme="minorEastAsia"/>
          <w:szCs w:val="21"/>
        </w:rPr>
        <w:t>、评估服务费的支付方式为转账汇款，乙方不接受现金形式的支付方式。</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7</w:t>
      </w:r>
      <w:r>
        <w:rPr>
          <w:rFonts w:hint="eastAsia" w:asciiTheme="minorEastAsia" w:hAnsiTheme="minorEastAsia" w:cstheme="minorEastAsia"/>
          <w:szCs w:val="21"/>
        </w:rPr>
        <w:t>、乙方可接受的支付币种为人民币。</w:t>
      </w:r>
    </w:p>
    <w:p>
      <w:pPr>
        <w:snapToGrid w:val="0"/>
        <w:spacing w:line="520" w:lineRule="atLeast"/>
        <w:ind w:firstLine="420" w:firstLineChars="200"/>
        <w:rPr>
          <w:rFonts w:asciiTheme="minorEastAsia" w:hAnsiTheme="minorEastAsia" w:cstheme="minorEastAsia"/>
          <w:b/>
          <w:szCs w:val="21"/>
        </w:rPr>
      </w:pPr>
      <w:r>
        <w:rPr>
          <w:rFonts w:hint="eastAsia" w:asciiTheme="minorEastAsia" w:hAnsiTheme="minorEastAsia" w:cstheme="minorEastAsia"/>
          <w:szCs w:val="21"/>
          <w:lang w:val="en-US" w:eastAsia="zh-CN"/>
        </w:rPr>
        <w:t>8</w:t>
      </w:r>
      <w:r>
        <w:rPr>
          <w:rFonts w:hint="eastAsia" w:asciiTheme="minorEastAsia" w:hAnsiTheme="minorEastAsia" w:cstheme="minorEastAsia"/>
          <w:szCs w:val="21"/>
        </w:rPr>
        <w:t>、</w:t>
      </w:r>
      <w:r>
        <w:rPr>
          <w:rFonts w:hint="eastAsia" w:asciiTheme="minorEastAsia" w:hAnsiTheme="minorEastAsia" w:cstheme="minorEastAsia"/>
          <w:b/>
          <w:szCs w:val="21"/>
        </w:rPr>
        <w:t>开户行：</w:t>
      </w:r>
    </w:p>
    <w:p>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账户名称：</w:t>
      </w:r>
    </w:p>
    <w:p>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账号：</w:t>
      </w:r>
    </w:p>
    <w:p>
      <w:pPr>
        <w:snapToGrid w:val="0"/>
        <w:spacing w:line="520" w:lineRule="atLeast"/>
        <w:ind w:firstLine="422" w:firstLineChars="200"/>
        <w:rPr>
          <w:rFonts w:asciiTheme="minorEastAsia" w:hAnsiTheme="minorEastAsia" w:cstheme="minorEastAsia"/>
          <w:b/>
          <w:szCs w:val="21"/>
        </w:rPr>
      </w:pPr>
      <w:r>
        <w:rPr>
          <w:rFonts w:hint="eastAsia" w:asciiTheme="minorEastAsia" w:hAnsiTheme="minorEastAsia" w:cstheme="minorEastAsia"/>
          <w:b/>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七、关于发票的特别约定：</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1、发票上的购买方应与评估服务费支付方一致，若评估服务费支付方、支付金额等发生变化的，应签订补充协议另行约定，并及时更换发票。</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八、双方权利和义务：</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和其他相关当事人须向乙方提供资产评估业务需要的资料并保证所提供资料的真实性、完整性、合法性；甲方和其他相关当事人应当对其提供的资产评估明细表及其他重要资料的真实性、完整性、合法性以签名、盖章或者法律允许的其他方式进行确认。</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2、甲方应当为乙方及其专业人员执行评估业务提供必要的工作条件和协助；甲方应当根据评估业务需要，负责乙方及其专业人员与相关当事人之间的协调。 </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3、甲方应当按照本合同第四条的约定恰当使用资产评估报告。</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4、乙方有责任按照本合同的约定按时按质完成资产评估工作。</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5、乙方及其专业人员应当遵守相关法律、行政法规和资产评估准则，对评估对象在评估基准日特定目的下的价值进行分析和估算并出具资产评估报告。</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6、乙方应当按照《国有资产评估管理办法》（国务院令第91号）等开展评估工作，并出具符合《企业国有资产评估报告指南》（中评协[2017]42号）的规定的资产评估报告。</w:t>
      </w:r>
    </w:p>
    <w:p>
      <w:pPr>
        <w:pStyle w:val="61"/>
        <w:spacing w:line="520" w:lineRule="atLeast"/>
        <w:ind w:firstLine="420"/>
        <w:rPr>
          <w:rFonts w:asciiTheme="minorEastAsia" w:hAnsiTheme="minorEastAsia" w:cstheme="minorEastAsia"/>
          <w:sz w:val="21"/>
          <w:szCs w:val="21"/>
          <w:lang w:val="en-US"/>
        </w:rPr>
      </w:pPr>
      <w:r>
        <w:rPr>
          <w:rFonts w:hint="eastAsia" w:asciiTheme="minorEastAsia" w:hAnsiTheme="minorEastAsia" w:cstheme="minorEastAsia"/>
          <w:sz w:val="21"/>
          <w:szCs w:val="21"/>
          <w:lang w:val="en-US"/>
        </w:rPr>
        <w:t>7.乙方对甲方及相关当事人内部资料、商业秘密、估值结果及约定的保密事项有保守秘密的义务。</w:t>
      </w:r>
    </w:p>
    <w:p>
      <w:pPr>
        <w:pStyle w:val="61"/>
        <w:spacing w:line="520" w:lineRule="atLeast"/>
        <w:ind w:firstLine="420"/>
        <w:rPr>
          <w:rFonts w:asciiTheme="minorEastAsia" w:hAnsiTheme="minorEastAsia" w:cstheme="minorEastAsia"/>
          <w:sz w:val="21"/>
          <w:szCs w:val="21"/>
          <w:lang w:val="en-US"/>
        </w:rPr>
      </w:pPr>
      <w:r>
        <w:rPr>
          <w:rFonts w:hint="eastAsia" w:asciiTheme="minorEastAsia" w:hAnsiTheme="minorEastAsia" w:cstheme="minorEastAsia"/>
          <w:sz w:val="21"/>
          <w:szCs w:val="21"/>
          <w:lang w:val="en-US"/>
        </w:rPr>
        <w:t>8.当甲方认定乙方委派的评估专业人员不足以妥善履行评估职责时，乙方应及时更换评估人员。</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双方如不履行上述义务，视为违约。</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九、双方违约责任：</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1、甲方拒绝向乙方支付评估服务费，乙方有权停止工作或不向甲方提供资产评估报告。非因甲方原因，乙方逾期提供评估报告或无法提供评估报告，甲方有权拒绝支付评估服务费，且甲方因此产生的损失由乙方承担。</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2、甲方未同乙方协商而擅自变更或解除本合同，不得索要已支付给乙方的款项，乙方有权要求甲方按照已完成的评估工作量支付相应的评估服务费。</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3、乙方未同甲方协商擅自变更或解除本合同，应全额返回甲方已支付的评估服务费用，</w:t>
      </w:r>
      <w:r>
        <w:rPr>
          <w:rFonts w:hint="eastAsia" w:asciiTheme="minorEastAsia" w:hAnsiTheme="minorEastAsia" w:cstheme="minorEastAsia"/>
          <w:szCs w:val="21"/>
          <w:lang w:val="en-US" w:eastAsia="zh-CN"/>
        </w:rPr>
        <w:t>甲方因此产生的损失由乙方承担。</w:t>
      </w:r>
      <w:r>
        <w:rPr>
          <w:rFonts w:hint="eastAsia" w:asciiTheme="minorEastAsia" w:hAnsiTheme="minorEastAsia" w:cstheme="minorEastAsia"/>
          <w:szCs w:val="21"/>
        </w:rPr>
        <w:t>但本合同第十条第2款和第3款所列情形除外。</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4、甲方未及时向乙方提供资产评估所需的文件、资料，或提供的文件和资料不真实，因此产生的不良后果由甲方负责，乙方不承担责任。</w:t>
      </w:r>
    </w:p>
    <w:p>
      <w:pPr>
        <w:pStyle w:val="62"/>
        <w:adjustRightInd w:val="0"/>
        <w:snapToGrid w:val="0"/>
        <w:spacing w:line="520" w:lineRule="atLeast"/>
        <w:rPr>
          <w:rFonts w:asciiTheme="minorEastAsia" w:hAnsiTheme="minorEastAsia" w:cstheme="minorEastAsia"/>
          <w:szCs w:val="21"/>
        </w:rPr>
      </w:pPr>
      <w:r>
        <w:rPr>
          <w:rFonts w:hint="eastAsia" w:asciiTheme="minorEastAsia" w:hAnsiTheme="minorEastAsia" w:cstheme="minorEastAsia"/>
          <w:szCs w:val="21"/>
        </w:rPr>
        <w:t>5.乙方违反本委托合同，不能在约定时间内提供专业水准的评估报告，每延期一天，支付相当于服务费总额0.5‰的违约金，如由此造成经济行为确指的资产业务无法进行或造成严重后果的，乙方应退还已收全部服务费，并承担相应的法律责任。延期超过十日的，甲方有权解除本合同，并要求乙方赔偿造成的全部损失。</w:t>
      </w:r>
    </w:p>
    <w:p>
      <w:pPr>
        <w:pStyle w:val="2"/>
        <w:spacing w:line="520" w:lineRule="atLeast"/>
        <w:ind w:left="0" w:leftChars="0"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6.乙方或其工作人员违反信息保密义务给甲方造成损失的，乙方应承担赔偿责任；乙方报告出现错误给甲方或合法使用报告的第三方造成损失的，乙方应承担赔偿责任。</w:t>
      </w:r>
      <w:r>
        <w:rPr>
          <w:rFonts w:hint="eastAsia" w:asciiTheme="minorEastAsia" w:hAnsiTheme="minorEastAsia" w:cstheme="minorEastAsia"/>
          <w:szCs w:val="21"/>
          <w:lang w:val="en-US" w:eastAsia="zh-CN"/>
        </w:rPr>
        <w:t>乙方违反本合同约定的保密义务，</w:t>
      </w:r>
      <w:r>
        <w:rPr>
          <w:rFonts w:hint="eastAsia" w:asciiTheme="minorEastAsia" w:hAnsiTheme="minorEastAsia" w:cstheme="minorEastAsia"/>
          <w:szCs w:val="21"/>
        </w:rPr>
        <w:t>甲方</w:t>
      </w:r>
      <w:r>
        <w:rPr>
          <w:rFonts w:hint="eastAsia" w:asciiTheme="minorEastAsia" w:hAnsiTheme="minorEastAsia" w:cstheme="minorEastAsia"/>
          <w:szCs w:val="21"/>
          <w:lang w:val="en-US" w:eastAsia="zh-CN"/>
        </w:rPr>
        <w:t>还</w:t>
      </w:r>
      <w:r>
        <w:rPr>
          <w:rFonts w:hint="eastAsia" w:asciiTheme="minorEastAsia" w:hAnsiTheme="minorEastAsia" w:cstheme="minorEastAsia"/>
          <w:szCs w:val="21"/>
        </w:rPr>
        <w:t>有权解除合同并可要求乙方支付本合同评估费总金额 20% 的违约金</w:t>
      </w:r>
      <w:r>
        <w:rPr>
          <w:rFonts w:hint="eastAsia" w:asciiTheme="minorEastAsia" w:hAnsiTheme="minorEastAsia" w:cstheme="minorEastAsia"/>
          <w:szCs w:val="21"/>
          <w:lang w:eastAsia="zh-CN"/>
        </w:rPr>
        <w:t>。</w:t>
      </w:r>
    </w:p>
    <w:p>
      <w:pPr>
        <w:spacing w:line="460" w:lineRule="exact"/>
        <w:ind w:firstLine="420" w:firstLineChars="200"/>
        <w:rPr>
          <w:rFonts w:hint="eastAsia" w:ascii="宋体" w:hAnsi="宋体"/>
          <w:color w:val="000000" w:themeColor="text1"/>
          <w:szCs w:val="21"/>
          <w:lang w:val="en-US" w:eastAsia="zh-CN"/>
          <w14:textFill>
            <w14:solidFill>
              <w14:schemeClr w14:val="tx1"/>
            </w14:solidFill>
          </w14:textFill>
        </w:rPr>
      </w:pPr>
      <w:r>
        <w:rPr>
          <w:rFonts w:hint="eastAsia" w:asciiTheme="minorEastAsia" w:hAnsiTheme="minorEastAsia" w:cstheme="minorEastAsia"/>
          <w:szCs w:val="21"/>
          <w:lang w:val="en-US" w:eastAsia="zh-CN"/>
        </w:rPr>
        <w:t>7.</w:t>
      </w:r>
      <w:r>
        <w:rPr>
          <w:rFonts w:hint="eastAsia" w:ascii="宋体" w:hAnsi="宋体"/>
          <w:color w:val="000000" w:themeColor="text1"/>
          <w:szCs w:val="21"/>
          <w:lang w:val="en-US" w:eastAsia="zh-CN"/>
          <w14:textFill>
            <w14:solidFill>
              <w14:schemeClr w14:val="tx1"/>
            </w14:solidFill>
          </w14:textFill>
        </w:rPr>
        <w:t>乙方应保证提供的评估报告应通过合肥市国有资产监督管理单位或其他有关部门的审核，否则应及时负责修改调整，并按逾期完成承担违约责任，直至通过合肥市国资委管理部门审核。若乙方经甲方要求限期仍无法更正的，甲方有权解除合同并要求乙方退还所收取的评估服务费用，甲方因此产生的损失由乙方承担。</w:t>
      </w:r>
    </w:p>
    <w:p>
      <w:pPr>
        <w:spacing w:line="460" w:lineRule="exact"/>
        <w:ind w:firstLine="420" w:firstLineChars="200"/>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8.当甲方认定乙方委派的评估专业人员不足以妥善履行评估职责时，乙方应及时更换评估人员。</w:t>
      </w:r>
    </w:p>
    <w:p>
      <w:pPr>
        <w:snapToGrid w:val="0"/>
        <w:spacing w:line="520" w:lineRule="atLeast"/>
        <w:ind w:firstLine="422" w:firstLineChars="200"/>
        <w:outlineLvl w:val="1"/>
        <w:rPr>
          <w:rFonts w:asciiTheme="minorEastAsia" w:hAnsiTheme="minorEastAsia" w:cstheme="minorEastAsia"/>
          <w:b/>
          <w:szCs w:val="21"/>
        </w:rPr>
      </w:pPr>
      <w:r>
        <w:rPr>
          <w:rFonts w:hint="eastAsia" w:asciiTheme="minorEastAsia" w:hAnsiTheme="minorEastAsia" w:cstheme="minorEastAsia"/>
          <w:b/>
          <w:szCs w:val="21"/>
        </w:rPr>
        <w:t>十、双方争议解决及其他：</w:t>
      </w:r>
    </w:p>
    <w:p>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1、本合同经双方协商一致可以终止或解除。</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2、因甲方和其他相关当事人原因导致资产评估程序受限，对与评估目的相对应的评估结论构成重大影响，乙方无法履行本合同时，乙方可以单方解除本合同，甲方应根据乙方已开展资产评估业务的时间、进度，或者完成的评估工作量向乙方支付相应的评估服务费。</w:t>
      </w:r>
    </w:p>
    <w:p>
      <w:pPr>
        <w:spacing w:line="46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宋体" w:hAnsi="宋体"/>
          <w:color w:val="000000" w:themeColor="text1"/>
          <w:szCs w:val="21"/>
          <w:lang w:val="en-US" w:eastAsia="zh-CN"/>
          <w14:textFill>
            <w14:solidFill>
              <w14:schemeClr w14:val="tx1"/>
            </w14:solidFill>
          </w14:textFill>
        </w:rPr>
        <w:t>因</w:t>
      </w:r>
      <w:r>
        <w:rPr>
          <w:rFonts w:hint="eastAsia" w:ascii="宋体" w:hAnsi="宋体"/>
          <w:color w:val="000000" w:themeColor="text1"/>
          <w:szCs w:val="21"/>
          <w14:textFill>
            <w14:solidFill>
              <w14:schemeClr w14:val="tx1"/>
            </w14:solidFill>
          </w14:textFill>
        </w:rPr>
        <w:t>甲方或者其他资产评估报告使用人原因导致资产评估程序受限，乙方</w:t>
      </w:r>
      <w:r>
        <w:rPr>
          <w:rFonts w:hint="eastAsia" w:ascii="宋体" w:hAnsi="宋体"/>
          <w:color w:val="000000" w:themeColor="text1"/>
          <w:szCs w:val="21"/>
          <w:lang w:val="en-US" w:eastAsia="zh-CN"/>
          <w14:textFill>
            <w14:solidFill>
              <w14:schemeClr w14:val="tx1"/>
            </w14:solidFill>
          </w14:textFill>
        </w:rPr>
        <w:t>应第一时间积极与甲方沟通，排除资产评估程序相关障碍，继续履行合同；若因甲方原因确定乙方无法继续履行资产评估委托合同的，乙方</w:t>
      </w:r>
      <w:r>
        <w:rPr>
          <w:rFonts w:hint="eastAsia" w:ascii="宋体" w:hAnsi="宋体"/>
          <w:color w:val="000000" w:themeColor="text1"/>
          <w:szCs w:val="21"/>
          <w14:textFill>
            <w14:solidFill>
              <w14:schemeClr w14:val="tx1"/>
            </w14:solidFill>
          </w14:textFill>
        </w:rPr>
        <w:t>可以单方解除资产评估委托合同</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甲方应按照已经开展资产评估业务的时间、进度，或者已经完成的工作量支付相应的评估服务费。</w:t>
      </w:r>
    </w:p>
    <w:p>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4、本合同未明确的内容或未尽事宜由双方协商，协商达成一致后以纸质形式作为本合同的附件</w:t>
      </w:r>
      <w:r>
        <w:rPr>
          <w:rFonts w:hint="eastAsia" w:asciiTheme="minorEastAsia" w:hAnsiTheme="minorEastAsia" w:cstheme="minorEastAsia"/>
          <w:kern w:val="32"/>
          <w:szCs w:val="21"/>
          <w:lang w:eastAsia="zh-CN"/>
        </w:rPr>
        <w:t>，</w:t>
      </w:r>
      <w:r>
        <w:rPr>
          <w:rFonts w:hint="eastAsia" w:asciiTheme="minorEastAsia" w:hAnsiTheme="minorEastAsia" w:cstheme="minorEastAsia"/>
          <w:kern w:val="32"/>
          <w:szCs w:val="21"/>
        </w:rPr>
        <w:t>法律效力</w:t>
      </w:r>
      <w:r>
        <w:rPr>
          <w:rFonts w:hint="eastAsia" w:asciiTheme="minorEastAsia" w:hAnsiTheme="minorEastAsia" w:cstheme="minorEastAsia"/>
          <w:kern w:val="32"/>
          <w:szCs w:val="21"/>
          <w:lang w:val="en-US" w:eastAsia="zh-CN"/>
        </w:rPr>
        <w:t>优先于本合同</w:t>
      </w:r>
      <w:r>
        <w:rPr>
          <w:rFonts w:hint="eastAsia" w:asciiTheme="minorEastAsia" w:hAnsiTheme="minorEastAsia" w:cstheme="minorEastAsia"/>
          <w:kern w:val="32"/>
          <w:szCs w:val="21"/>
        </w:rPr>
        <w:t>。</w:t>
      </w:r>
    </w:p>
    <w:p>
      <w:pPr>
        <w:snapToGrid w:val="0"/>
        <w:spacing w:line="520" w:lineRule="atLeast"/>
        <w:ind w:firstLine="420" w:firstLineChars="200"/>
        <w:rPr>
          <w:rFonts w:asciiTheme="minorEastAsia" w:hAnsiTheme="minorEastAsia" w:cstheme="minorEastAsia"/>
          <w:kern w:val="32"/>
          <w:szCs w:val="21"/>
        </w:rPr>
      </w:pPr>
      <w:r>
        <w:rPr>
          <w:rFonts w:hint="eastAsia" w:asciiTheme="minorEastAsia" w:hAnsiTheme="minorEastAsia" w:cstheme="minorEastAsia"/>
          <w:kern w:val="32"/>
          <w:szCs w:val="21"/>
        </w:rPr>
        <w:t>5、因本合同</w:t>
      </w:r>
      <w:r>
        <w:rPr>
          <w:rFonts w:hint="eastAsia" w:asciiTheme="minorEastAsia" w:hAnsiTheme="minorEastAsia" w:cstheme="minorEastAsia"/>
          <w:szCs w:val="21"/>
        </w:rPr>
        <w:t>产生</w:t>
      </w:r>
      <w:r>
        <w:rPr>
          <w:rFonts w:hint="eastAsia" w:asciiTheme="minorEastAsia" w:hAnsiTheme="minorEastAsia" w:cstheme="minorEastAsia"/>
          <w:kern w:val="32"/>
          <w:szCs w:val="21"/>
        </w:rPr>
        <w:t>的争议由双方协商解决，协商不成时，任何一方可向甲方所在地有管辖权的人民法院起诉。</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6、本合同经双方代表签名，并加盖单位公章或合同专用章后，即发生法律效力。</w:t>
      </w:r>
    </w:p>
    <w:p>
      <w:pPr>
        <w:snapToGrid w:val="0"/>
        <w:spacing w:line="520" w:lineRule="atLeast"/>
        <w:ind w:firstLine="420" w:firstLineChars="200"/>
        <w:outlineLvl w:val="2"/>
        <w:rPr>
          <w:rFonts w:asciiTheme="minorEastAsia" w:hAnsiTheme="minorEastAsia" w:cstheme="minorEastAsia"/>
          <w:szCs w:val="21"/>
        </w:rPr>
      </w:pPr>
      <w:r>
        <w:rPr>
          <w:rFonts w:hint="eastAsia" w:asciiTheme="minorEastAsia" w:hAnsiTheme="minorEastAsia" w:cstheme="minorEastAsia"/>
          <w:szCs w:val="21"/>
        </w:rPr>
        <w:t>7、本合同正本一式贰份，甲乙双方各执壹份，具有同等法律效力。</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8、如遇到国家有关政策调整、法律修改及其他不可抗力事件，导致甲、乙双方或任何一方无法履行本合同，受到不可抗力导致无法履行合同义务的一方应该及时书面通知守约方，同时前述“无法履行合同义务”不视为违约情形。一旦不可抗力情形消除，应立即恢复对合同的履行。所遗留问题由双方协商解决。</w:t>
      </w:r>
    </w:p>
    <w:p>
      <w:pPr>
        <w:snapToGrid w:val="0"/>
        <w:spacing w:line="520" w:lineRule="atLeast"/>
        <w:ind w:firstLine="420" w:firstLineChars="200"/>
        <w:rPr>
          <w:rFonts w:asciiTheme="minorEastAsia" w:hAnsiTheme="minorEastAsia" w:cstheme="minorEastAsia"/>
          <w:szCs w:val="21"/>
        </w:rPr>
      </w:pPr>
      <w:r>
        <w:rPr>
          <w:rFonts w:hint="eastAsia" w:asciiTheme="minorEastAsia" w:hAnsiTheme="minorEastAsia" w:cstheme="minorEastAsia"/>
          <w:szCs w:val="21"/>
        </w:rPr>
        <w:t>9、本合同中“甲方代表”“乙方代表”特指合同当事人双方企业法定代表人或法定代表人的授权人。</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10、下列询价文件及有关附件是本合同不可分割的组成部分，并构成一个整体，需综合解释、相互补充。如果下列文件内容出现不一致的情形，组成本合同的多个文件的优先适用及解释的顺序如下：</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（1）本合同及其补充合同、变更协议；</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（2）成交（中标）通知书；</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（3）经甲方确认的乙方承诺书；</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（4）询价文件（含澄清或者修改文件）；</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（5）投标文件；</w:t>
      </w:r>
    </w:p>
    <w:p>
      <w:pPr>
        <w:pStyle w:val="2"/>
        <w:ind w:left="0" w:leftChars="0"/>
        <w:rPr>
          <w:rFonts w:asciiTheme="minorEastAsia" w:hAnsiTheme="minorEastAsia" w:cstheme="minorEastAsia"/>
          <w:szCs w:val="21"/>
        </w:rPr>
      </w:pPr>
      <w:r>
        <w:rPr>
          <w:rFonts w:hint="eastAsia" w:asciiTheme="minorEastAsia" w:hAnsiTheme="minorEastAsia" w:cstheme="minorEastAsia"/>
          <w:szCs w:val="21"/>
        </w:rPr>
        <w:t>（6）其他相关询价文件。</w:t>
      </w:r>
    </w:p>
    <w:p>
      <w:pPr>
        <w:snapToGrid w:val="0"/>
        <w:spacing w:line="520" w:lineRule="atLeast"/>
        <w:ind w:firstLine="420" w:firstLineChars="200"/>
        <w:rPr>
          <w:rFonts w:asciiTheme="minorEastAsia" w:hAnsiTheme="minorEastAsia" w:cstheme="minorEastAsia"/>
          <w:szCs w:val="21"/>
        </w:rPr>
      </w:pPr>
    </w:p>
    <w:tbl>
      <w:tblPr>
        <w:tblStyle w:val="23"/>
        <w:tblW w:w="8718" w:type="dxa"/>
        <w:tblInd w:w="108" w:type="dxa"/>
        <w:tblLayout w:type="autofit"/>
        <w:tblCellMar>
          <w:top w:w="0" w:type="dxa"/>
          <w:left w:w="108" w:type="dxa"/>
          <w:bottom w:w="0" w:type="dxa"/>
          <w:right w:w="108" w:type="dxa"/>
        </w:tblCellMar>
      </w:tblPr>
      <w:tblGrid>
        <w:gridCol w:w="4536"/>
        <w:gridCol w:w="4182"/>
      </w:tblGrid>
      <w:tr>
        <w:tblPrEx>
          <w:tblCellMar>
            <w:top w:w="0" w:type="dxa"/>
            <w:left w:w="108" w:type="dxa"/>
            <w:bottom w:w="0" w:type="dxa"/>
            <w:right w:w="108" w:type="dxa"/>
          </w:tblCellMar>
        </w:tblPrEx>
        <w:trPr>
          <w:trHeight w:val="505" w:hRule="atLeast"/>
        </w:trPr>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甲方（盖章）： </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乙方（盖章）：</w:t>
            </w:r>
          </w:p>
        </w:tc>
      </w:tr>
      <w:tr>
        <w:tblPrEx>
          <w:tblCellMar>
            <w:top w:w="0" w:type="dxa"/>
            <w:left w:w="108" w:type="dxa"/>
            <w:bottom w:w="0" w:type="dxa"/>
            <w:right w:w="108" w:type="dxa"/>
          </w:tblCellMar>
        </w:tblPrEx>
        <w:trPr>
          <w:trHeight w:val="620" w:hRule="atLeast"/>
        </w:trPr>
        <w:tc>
          <w:tcPr>
            <w:tcW w:w="4536" w:type="dxa"/>
          </w:tcPr>
          <w:p>
            <w:pPr>
              <w:snapToGrid w:val="0"/>
              <w:spacing w:line="520" w:lineRule="atLeast"/>
              <w:rPr>
                <w:rFonts w:asciiTheme="minorEastAsia" w:hAnsiTheme="minorEastAsia" w:cstheme="minorEastAsia"/>
                <w:spacing w:val="10"/>
                <w:szCs w:val="21"/>
              </w:rPr>
            </w:pPr>
          </w:p>
        </w:tc>
        <w:tc>
          <w:tcPr>
            <w:tcW w:w="4182" w:type="dxa"/>
          </w:tcPr>
          <w:p>
            <w:pPr>
              <w:snapToGrid w:val="0"/>
              <w:spacing w:line="520" w:lineRule="atLeast"/>
              <w:rPr>
                <w:rFonts w:asciiTheme="minorEastAsia" w:hAnsiTheme="minorEastAsia" w:cstheme="minorEastAsia"/>
                <w:spacing w:val="10"/>
                <w:szCs w:val="21"/>
              </w:rPr>
            </w:pP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甲方代表（签名）：</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乙方代表（签名）：</w:t>
            </w:r>
          </w:p>
        </w:tc>
      </w:tr>
      <w:tr>
        <w:tblPrEx>
          <w:tblCellMar>
            <w:top w:w="0" w:type="dxa"/>
            <w:left w:w="108" w:type="dxa"/>
            <w:bottom w:w="0" w:type="dxa"/>
            <w:right w:w="108" w:type="dxa"/>
          </w:tblCellMar>
        </w:tblPrEx>
        <w:trPr>
          <w:trHeight w:val="593" w:hRule="atLeast"/>
        </w:trPr>
        <w:tc>
          <w:tcPr>
            <w:tcW w:w="4536" w:type="dxa"/>
          </w:tcPr>
          <w:p>
            <w:pPr>
              <w:snapToGrid w:val="0"/>
              <w:spacing w:line="520" w:lineRule="atLeast"/>
              <w:rPr>
                <w:rFonts w:asciiTheme="minorEastAsia" w:hAnsiTheme="minorEastAsia" w:cstheme="minorEastAsia"/>
                <w:spacing w:val="10"/>
                <w:szCs w:val="21"/>
              </w:rPr>
            </w:pPr>
          </w:p>
        </w:tc>
        <w:tc>
          <w:tcPr>
            <w:tcW w:w="4182" w:type="dxa"/>
          </w:tcPr>
          <w:p>
            <w:pPr>
              <w:snapToGrid w:val="0"/>
              <w:spacing w:line="520" w:lineRule="atLeast"/>
              <w:rPr>
                <w:rFonts w:asciiTheme="minorEastAsia" w:hAnsiTheme="minorEastAsia" w:cstheme="minorEastAsia"/>
                <w:spacing w:val="10"/>
                <w:szCs w:val="21"/>
              </w:rPr>
            </w:pP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 xml:space="preserve">地址： </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地址：</w:t>
            </w: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邮编：</w:t>
            </w: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联系人：</w:t>
            </w: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电话：</w:t>
            </w:r>
          </w:p>
        </w:tc>
      </w:tr>
      <w:tr>
        <w:tblPrEx>
          <w:tblCellMar>
            <w:top w:w="0" w:type="dxa"/>
            <w:left w:w="108" w:type="dxa"/>
            <w:bottom w:w="0" w:type="dxa"/>
            <w:right w:w="108" w:type="dxa"/>
          </w:tblCellMar>
        </w:tblPrEx>
        <w:tc>
          <w:tcPr>
            <w:tcW w:w="4536"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c>
          <w:tcPr>
            <w:tcW w:w="4182" w:type="dxa"/>
          </w:tcPr>
          <w:p>
            <w:pPr>
              <w:snapToGrid w:val="0"/>
              <w:spacing w:line="520" w:lineRule="atLeast"/>
              <w:rPr>
                <w:rFonts w:asciiTheme="minorEastAsia" w:hAnsiTheme="minorEastAsia" w:cstheme="minorEastAsia"/>
                <w:spacing w:val="10"/>
                <w:szCs w:val="21"/>
              </w:rPr>
            </w:pPr>
            <w:r>
              <w:rPr>
                <w:rFonts w:hint="eastAsia" w:asciiTheme="minorEastAsia" w:hAnsiTheme="minorEastAsia" w:cstheme="minorEastAsia"/>
                <w:spacing w:val="10"/>
                <w:szCs w:val="21"/>
              </w:rPr>
              <w:t>传真：</w:t>
            </w:r>
          </w:p>
        </w:tc>
      </w:tr>
    </w:tbl>
    <w:p>
      <w:pPr>
        <w:adjustRightInd w:val="0"/>
        <w:snapToGrid w:val="0"/>
        <w:spacing w:line="500" w:lineRule="exact"/>
        <w:rPr>
          <w:rFonts w:hint="eastAsia" w:asciiTheme="minorEastAsia" w:hAnsiTheme="minorEastAsia" w:eastAsiaTheme="minorEastAsia" w:cstheme="minorEastAsia"/>
          <w:color w:val="000000"/>
          <w:szCs w:val="21"/>
        </w:rPr>
      </w:pPr>
    </w:p>
    <w:p>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adjustRightInd w:val="0"/>
        <w:snapToGrid w:val="0"/>
        <w:spacing w:line="500" w:lineRule="exact"/>
        <w:rPr>
          <w:rFonts w:hint="eastAsia" w:asciiTheme="minorEastAsia" w:hAnsiTheme="minorEastAsia" w:eastAsiaTheme="minorEastAsia" w:cstheme="minorEastAsia"/>
          <w:color w:val="000000"/>
          <w:szCs w:val="21"/>
        </w:rPr>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3"/>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w:t>
      </w:r>
      <w:r>
        <w:rPr>
          <w:rFonts w:hint="default" w:ascii="Times New Roman" w:hAnsi="Times New Roman" w:eastAsia="仿宋_GB2312" w:cs="Times New Roman"/>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rPr>
        <w:t>乙方</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u w:val="single"/>
          <w:lang w:val="en-US" w:eastAsia="zh-CN"/>
        </w:rPr>
        <w:t xml:space="preserve">                                 </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sz w:val="26"/>
          <w:szCs w:val="26"/>
          <w:shd w:val="clear" w:fill="FFFFFF"/>
        </w:rPr>
        <w:t>为进一步</w:t>
      </w:r>
      <w:r>
        <w:rPr>
          <w:rFonts w:hint="default" w:ascii="Times New Roman" w:hAnsi="Times New Roman" w:eastAsia="仿宋_GB2312" w:cs="Times New Roman"/>
          <w:i w:val="0"/>
          <w:iCs w:val="0"/>
          <w:caps w:val="0"/>
          <w:spacing w:val="7"/>
          <w:sz w:val="26"/>
          <w:szCs w:val="26"/>
          <w:shd w:val="clear" w:fill="FFFFFF"/>
          <w:lang w:val="en-US" w:eastAsia="zh-CN"/>
        </w:rPr>
        <w:t>落实生产经营活动</w:t>
      </w:r>
      <w:r>
        <w:rPr>
          <w:rFonts w:hint="default" w:ascii="Times New Roman" w:hAnsi="Times New Roman" w:eastAsia="仿宋_GB2312" w:cs="Times New Roman"/>
          <w:i w:val="0"/>
          <w:iCs w:val="0"/>
          <w:caps w:val="0"/>
          <w:spacing w:val="7"/>
          <w:sz w:val="26"/>
          <w:szCs w:val="26"/>
          <w:shd w:val="clear" w:fill="FFFFFF"/>
        </w:rPr>
        <w:t>廉政</w:t>
      </w:r>
      <w:r>
        <w:rPr>
          <w:rFonts w:hint="default" w:ascii="Times New Roman" w:hAnsi="Times New Roman" w:eastAsia="仿宋_GB2312" w:cs="Times New Roman"/>
          <w:i w:val="0"/>
          <w:iCs w:val="0"/>
          <w:caps w:val="0"/>
          <w:spacing w:val="7"/>
          <w:sz w:val="26"/>
          <w:szCs w:val="26"/>
          <w:shd w:val="clear" w:fill="FFFFFF"/>
          <w:lang w:val="en-US" w:eastAsia="zh-CN"/>
        </w:rPr>
        <w:t>要求</w:t>
      </w:r>
      <w:r>
        <w:rPr>
          <w:rFonts w:hint="default" w:ascii="Times New Roman" w:hAnsi="Times New Roman" w:eastAsia="仿宋_GB2312" w:cs="Times New Roman"/>
          <w:i w:val="0"/>
          <w:iCs w:val="0"/>
          <w:caps w:val="0"/>
          <w:spacing w:val="7"/>
          <w:sz w:val="26"/>
          <w:szCs w:val="26"/>
          <w:shd w:val="clear" w:fill="FFFFFF"/>
        </w:rPr>
        <w:t>，维护</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spacing w:val="7"/>
          <w:sz w:val="26"/>
          <w:szCs w:val="26"/>
          <w:shd w:val="clear" w:fill="FFFFFF"/>
          <w:lang w:val="en-US" w:eastAsia="zh-CN"/>
        </w:rPr>
        <w:t>经济</w:t>
      </w:r>
      <w:r>
        <w:rPr>
          <w:rFonts w:hint="default" w:ascii="Times New Roman" w:hAnsi="Times New Roman" w:eastAsia="仿宋_GB2312" w:cs="Times New Roman"/>
          <w:i w:val="0"/>
          <w:iCs w:val="0"/>
          <w:caps w:val="0"/>
          <w:spacing w:val="7"/>
          <w:sz w:val="26"/>
          <w:szCs w:val="26"/>
          <w:shd w:val="clear" w:fill="FFFFFF"/>
        </w:rPr>
        <w:t>秩序，确保</w:t>
      </w:r>
      <w:r>
        <w:rPr>
          <w:rFonts w:hint="default" w:ascii="Times New Roman" w:hAnsi="Times New Roman" w:eastAsia="仿宋_GB2312" w:cs="Times New Roman"/>
          <w:i w:val="0"/>
          <w:iCs w:val="0"/>
          <w:caps w:val="0"/>
          <w:spacing w:val="7"/>
          <w:sz w:val="26"/>
          <w:szCs w:val="26"/>
          <w:shd w:val="clear" w:fill="FFFFFF"/>
          <w:lang w:val="en-US" w:eastAsia="zh-CN"/>
        </w:rPr>
        <w:t>生产经营活动廉洁有序</w:t>
      </w:r>
      <w:r>
        <w:rPr>
          <w:rFonts w:hint="default" w:ascii="Times New Roman" w:hAnsi="Times New Roman" w:eastAsia="仿宋_GB2312" w:cs="Times New Roman"/>
          <w:i w:val="0"/>
          <w:iCs w:val="0"/>
          <w:caps w:val="0"/>
          <w:spacing w:val="7"/>
          <w:sz w:val="26"/>
          <w:szCs w:val="26"/>
          <w:shd w:val="clear" w:fill="FFFFFF"/>
        </w:rPr>
        <w:t>和</w:t>
      </w:r>
      <w:r>
        <w:rPr>
          <w:rFonts w:hint="default" w:ascii="Times New Roman" w:hAnsi="Times New Roman" w:eastAsia="仿宋_GB2312" w:cs="Times New Roman"/>
          <w:i w:val="0"/>
          <w:iCs w:val="0"/>
          <w:caps w:val="0"/>
          <w:spacing w:val="7"/>
          <w:sz w:val="26"/>
          <w:szCs w:val="26"/>
          <w:shd w:val="clear" w:fill="FFFFFF"/>
          <w:lang w:val="en-US" w:eastAsia="zh-CN"/>
        </w:rPr>
        <w:t>双方</w:t>
      </w:r>
      <w:r>
        <w:rPr>
          <w:rFonts w:hint="default" w:ascii="Times New Roman" w:hAnsi="Times New Roman" w:eastAsia="仿宋_GB2312" w:cs="Times New Roman"/>
          <w:i w:val="0"/>
          <w:iCs w:val="0"/>
          <w:caps w:val="0"/>
          <w:spacing w:val="7"/>
          <w:sz w:val="26"/>
          <w:szCs w:val="26"/>
          <w:shd w:val="clear" w:fill="FFFFFF"/>
        </w:rPr>
        <w:t>工作人员廉洁自律、诚实守信，努力在</w:t>
      </w:r>
      <w:r>
        <w:rPr>
          <w:rFonts w:hint="default" w:ascii="Times New Roman" w:hAnsi="Times New Roman" w:eastAsia="仿宋_GB2312" w:cs="Times New Roman"/>
          <w:i w:val="0"/>
          <w:iCs w:val="0"/>
          <w:caps w:val="0"/>
          <w:spacing w:val="7"/>
          <w:sz w:val="26"/>
          <w:szCs w:val="26"/>
          <w:shd w:val="clear" w:fill="FFFFFF"/>
          <w:lang w:val="en-US" w:eastAsia="zh-CN"/>
        </w:rPr>
        <w:t>生产经营活动中</w:t>
      </w:r>
      <w:r>
        <w:rPr>
          <w:rFonts w:hint="default" w:ascii="Times New Roman" w:hAnsi="Times New Roman" w:eastAsia="仿宋_GB2312" w:cs="Times New Roman"/>
          <w:i w:val="0"/>
          <w:iCs w:val="0"/>
          <w:caps w:val="0"/>
          <w:spacing w:val="7"/>
          <w:sz w:val="26"/>
          <w:szCs w:val="26"/>
          <w:shd w:val="clear" w:fill="FFFFFF"/>
        </w:rPr>
        <w:t>形成</w:t>
      </w:r>
      <w:r>
        <w:rPr>
          <w:rFonts w:hint="default" w:ascii="Times New Roman" w:hAnsi="Times New Roman" w:eastAsia="仿宋_GB2312" w:cs="Times New Roman"/>
          <w:i w:val="0"/>
          <w:iCs w:val="0"/>
          <w:caps w:val="0"/>
          <w:spacing w:val="7"/>
          <w:sz w:val="26"/>
          <w:szCs w:val="26"/>
          <w:shd w:val="clear" w:fill="FFFFFF"/>
          <w:lang w:val="en-US" w:eastAsia="zh-CN"/>
        </w:rPr>
        <w:t>清正廉洁</w:t>
      </w:r>
      <w:r>
        <w:rPr>
          <w:rFonts w:hint="default" w:ascii="Times New Roman" w:hAnsi="Times New Roman" w:eastAsia="仿宋_GB2312" w:cs="Times New Roman"/>
          <w:i w:val="0"/>
          <w:iCs w:val="0"/>
          <w:caps w:val="0"/>
          <w:spacing w:val="7"/>
          <w:sz w:val="26"/>
          <w:szCs w:val="26"/>
          <w:shd w:val="clear" w:fill="FFFFFF"/>
        </w:rPr>
        <w:t>的价值取向，</w:t>
      </w:r>
      <w:r>
        <w:rPr>
          <w:rFonts w:hint="default" w:ascii="Times New Roman" w:hAnsi="Times New Roman" w:eastAsia="仿宋_GB2312" w:cs="Times New Roman"/>
          <w:i w:val="0"/>
          <w:iCs w:val="0"/>
          <w:caps w:val="0"/>
          <w:spacing w:val="7"/>
          <w:sz w:val="26"/>
          <w:szCs w:val="26"/>
          <w:shd w:val="clear" w:fill="FFFFFF"/>
          <w:lang w:val="en-US" w:eastAsia="zh-CN"/>
        </w:rPr>
        <w:t>双方根据</w:t>
      </w:r>
      <w:r>
        <w:rPr>
          <w:rFonts w:hint="default" w:ascii="Times New Roman" w:hAnsi="Times New Roman" w:eastAsia="仿宋_GB2312" w:cs="Times New Roman"/>
          <w:sz w:val="26"/>
          <w:szCs w:val="26"/>
        </w:rPr>
        <w:t>《中华人民共和国反不正当竞争法》</w:t>
      </w:r>
      <w:r>
        <w:rPr>
          <w:rFonts w:hint="default" w:ascii="Times New Roman" w:hAnsi="Times New Roman" w:eastAsia="仿宋_GB2312" w:cs="Times New Roman"/>
          <w:sz w:val="26"/>
          <w:szCs w:val="26"/>
          <w:lang w:val="en-US" w:eastAsia="zh-CN"/>
        </w:rPr>
        <w:t>等</w:t>
      </w:r>
      <w:r>
        <w:rPr>
          <w:rFonts w:hint="default" w:ascii="Times New Roman" w:hAnsi="Times New Roman" w:eastAsia="仿宋_GB2312" w:cs="Times New Roman"/>
          <w:i w:val="0"/>
          <w:iCs w:val="0"/>
          <w:caps w:val="0"/>
          <w:spacing w:val="7"/>
          <w:kern w:val="0"/>
          <w:sz w:val="26"/>
          <w:szCs w:val="26"/>
          <w:shd w:val="clear" w:fill="FFFFFF"/>
          <w:lang w:val="en-US" w:eastAsia="zh-CN" w:bidi="ar"/>
        </w:rPr>
        <w:t>相关法律法规和廉政建设的有关规定，签订本协议。</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第一条 甲方和乙方责任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（一）双方及工作人员应当严格遵守法律法规和廉政建设的有关规定。</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（二）双方及工作人员均应在生产经营活动中全面履行合同内容及廉政协议各项规定，自觉按合同办事。</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（三）双方业务活动应当坚持公开、公正、诚信、透明原则（法律法规另有规定的除外），严禁损害国家、集体和对方利益，不得进行不正当交易活动。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第二条 甲方责任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sz w:val="26"/>
          <w:szCs w:val="26"/>
        </w:rPr>
        <w:t>手续费、加班费、咨询费、劳务费、协调费</w:t>
      </w:r>
      <w:r>
        <w:rPr>
          <w:rFonts w:hint="default" w:ascii="Times New Roman" w:hAnsi="Times New Roman" w:eastAsia="仿宋_GB2312" w:cs="Times New Roman"/>
          <w:i w:val="0"/>
          <w:iCs w:val="0"/>
          <w:caps w:val="0"/>
          <w:spacing w:val="7"/>
          <w:kern w:val="0"/>
          <w:sz w:val="26"/>
          <w:szCs w:val="26"/>
          <w:shd w:val="clear"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（三）甲方工作人员不得推荐配偶、子女、亲属承包或从事与业务有关的</w:t>
      </w:r>
      <w:r>
        <w:rPr>
          <w:rFonts w:hint="default" w:ascii="Times New Roman" w:hAnsi="Times New Roman" w:eastAsia="仿宋_GB2312" w:cs="Times New Roman"/>
          <w:sz w:val="26"/>
          <w:szCs w:val="26"/>
        </w:rPr>
        <w:t>经济活动</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lang w:val="en-US" w:eastAsia="zh-CN"/>
        </w:rPr>
        <w:t>如</w:t>
      </w:r>
      <w:r>
        <w:rPr>
          <w:rFonts w:hint="default" w:ascii="Times New Roman" w:hAnsi="Times New Roman" w:eastAsia="仿宋_GB2312" w:cs="Times New Roman"/>
          <w:i w:val="0"/>
          <w:iCs w:val="0"/>
          <w:caps w:val="0"/>
          <w:spacing w:val="7"/>
          <w:kern w:val="0"/>
          <w:sz w:val="26"/>
          <w:szCs w:val="26"/>
          <w:shd w:val="clear" w:fill="FFFFFF"/>
          <w:lang w:val="en-US" w:eastAsia="zh-CN" w:bidi="ar"/>
        </w:rPr>
        <w:t>工程分包、材料供应、设备租赁、咨询服务、组织劳务等）；不得向乙方推荐分包单位；不得要求乙方购买规定外的材料和设备。</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4"/>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（七）甲方不得进行违反廉政规定的任何其他活动。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 第三条 乙方责任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（一）乙方有权了解甲方有关廉政建设的各项制度和规定，支持甲方执行有关规定和制度。</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（二）乙方应与甲方保持正常的业务关系，按照有关法律法规和程序开展业务工作，严格执行严格遵守法律法规和廉政建设的有关规定。</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4"/>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（七）乙方不得进行违反廉政规定的任何其他活动。</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第四条 违约责任</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outlineLvl w:val="3"/>
        <w:rPr>
          <w:rFonts w:hint="default" w:ascii="Times New Roman" w:hAnsi="Times New Roman" w:eastAsia="黑体" w:cs="Times New Roman"/>
          <w:b w:val="0"/>
          <w:bCs w:val="0"/>
          <w:i w:val="0"/>
          <w:iCs w:val="0"/>
          <w:caps w:val="0"/>
          <w:spacing w:val="7"/>
          <w:kern w:val="0"/>
          <w:sz w:val="26"/>
          <w:szCs w:val="26"/>
          <w:shd w:val="clear" w:fill="FFFFFF"/>
          <w:lang w:val="en-US" w:eastAsia="zh-CN" w:bidi="ar"/>
        </w:rPr>
      </w:pPr>
      <w:r>
        <w:rPr>
          <w:rFonts w:hint="default" w:ascii="Times New Roman" w:hAnsi="Times New Roman" w:eastAsia="黑体" w:cs="Times New Roman"/>
          <w:b w:val="0"/>
          <w:bCs w:val="0"/>
          <w:i w:val="0"/>
          <w:iCs w:val="0"/>
          <w:caps w:val="0"/>
          <w:spacing w:val="7"/>
          <w:kern w:val="0"/>
          <w:sz w:val="26"/>
          <w:szCs w:val="26"/>
          <w:shd w:val="clear" w:fill="FFFFFF"/>
          <w:lang w:val="en-US" w:eastAsia="zh-CN" w:bidi="ar"/>
        </w:rPr>
        <w:t>第五条 其它</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spacing w:val="7"/>
          <w:kern w:val="0"/>
          <w:sz w:val="26"/>
          <w:szCs w:val="26"/>
          <w:shd w:val="clear" w:fill="FFFFFF"/>
          <w:lang w:val="en-US" w:eastAsia="zh-CN" w:bidi="ar"/>
        </w:rPr>
      </w:pPr>
      <w:r>
        <w:rPr>
          <w:rFonts w:hint="default" w:ascii="Times New Roman" w:hAnsi="Times New Roman" w:eastAsia="仿宋_GB2312" w:cs="Times New Roman"/>
          <w:i w:val="0"/>
          <w:iCs w:val="0"/>
          <w:caps w:val="0"/>
          <w:spacing w:val="7"/>
          <w:kern w:val="0"/>
          <w:sz w:val="26"/>
          <w:szCs w:val="26"/>
          <w:shd w:val="clear" w:fill="FFFFFF"/>
          <w:lang w:val="en-US" w:eastAsia="zh-CN" w:bidi="ar"/>
        </w:rPr>
        <w:t>（一）本协议作为</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eastAsia"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u w:val="single"/>
          <w:shd w:val="clear" w:fill="FFFFFF"/>
          <w:lang w:val="en-US" w:eastAsia="zh-CN" w:bidi="ar"/>
        </w:rPr>
        <w:t xml:space="preserve">   </w:t>
      </w:r>
      <w:r>
        <w:rPr>
          <w:rFonts w:hint="default" w:ascii="Times New Roman" w:hAnsi="Times New Roman" w:eastAsia="仿宋_GB2312" w:cs="Times New Roman"/>
          <w:i w:val="0"/>
          <w:iCs w:val="0"/>
          <w:caps w:val="0"/>
          <w:spacing w:val="7"/>
          <w:kern w:val="0"/>
          <w:sz w:val="26"/>
          <w:szCs w:val="26"/>
          <w:shd w:val="clear" w:fill="FFFFFF"/>
          <w:lang w:val="en-US" w:eastAsia="zh-CN" w:bidi="ar"/>
        </w:rPr>
        <w:t>合同的附件应一并签订、保管，与该合同具有同等法律效力。经双方签署后即生效。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4"/>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（二）本协议未尽事宜，双方可以增补条款，增补内容如下：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1.</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2.</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3.</w:t>
      </w:r>
      <w:r>
        <w:rPr>
          <w:rFonts w:hint="default" w:ascii="Times New Roman" w:hAnsi="Times New Roman" w:eastAsia="仿宋_GB2312" w:cs="Times New Roman"/>
          <w:b w:val="0"/>
          <w:bCs w:val="0"/>
          <w:i w:val="0"/>
          <w:iCs w:val="0"/>
          <w:caps w:val="0"/>
          <w:spacing w:val="7"/>
          <w:kern w:val="0"/>
          <w:sz w:val="26"/>
          <w:szCs w:val="26"/>
          <w:u w:val="single"/>
          <w:shd w:val="clear" w:fill="FFFFFF"/>
          <w:lang w:val="en-US" w:eastAsia="zh-CN" w:bidi="ar"/>
        </w:rPr>
        <w:t>                                                   </w:t>
      </w:r>
      <w:r>
        <w:rPr>
          <w:rFonts w:hint="eastAsia" w:ascii="Times New Roman" w:hAnsi="Times New Roman" w:eastAsia="仿宋_GB2312" w:cs="Times New Roman"/>
          <w:b w:val="0"/>
          <w:bCs w:val="0"/>
          <w:i w:val="0"/>
          <w:iCs w:val="0"/>
          <w:caps w:val="0"/>
          <w:spacing w:val="7"/>
          <w:kern w:val="0"/>
          <w:sz w:val="26"/>
          <w:szCs w:val="26"/>
          <w:u w:val="none"/>
          <w:shd w:val="clear" w:fill="FFFFFF"/>
          <w:lang w:val="en-US" w:eastAsia="zh-CN" w:bidi="ar"/>
        </w:rPr>
        <w:t xml:space="preserve">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（三）本协议的有效期为双方签字盖章之日起至合同履行完成时止。但对隐蔽性强，后期发现属于该项目双方违法违纪违规行为的，应当按照此合同约定的相关规定执行。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4"/>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（四）</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双方监督联系方式</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2"/>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 xml:space="preserve">1. </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合肥政文国际会展管理有限公司</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及安徽国科农展会展有限公司</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zwecc_DCS@163.com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begin"/>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separate"/>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zt_jcsjb@163.com</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fldChar w:fldCharType="end"/>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sz w:val="26"/>
          <w:szCs w:val="26"/>
          <w:u w:val="single"/>
          <w:lang w:val="en-US" w:eastAsia="zh-CN"/>
        </w:rPr>
      </w:pPr>
      <w:r>
        <w:rPr>
          <w:rFonts w:hint="default" w:ascii="Times New Roman" w:hAnsi="Times New Roman" w:eastAsia="仿宋_GB2312" w:cs="Times New Roman"/>
          <w:sz w:val="26"/>
          <w:szCs w:val="26"/>
          <w:u w:val="single"/>
          <w:lang w:val="en-US" w:eastAsia="zh-CN"/>
        </w:rPr>
        <w:t xml:space="preserve">                                 </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3"/>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监督部门（名称）：</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联系电话：</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outlineLvl w:val="3"/>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pP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（五）本协议双方至少各执一</w:t>
      </w:r>
      <w:r>
        <w:rPr>
          <w:rFonts w:hint="eastAsia" w:ascii="Times New Roman" w:hAnsi="Times New Roman" w:eastAsia="仿宋_GB2312" w:cs="Times New Roman"/>
          <w:b w:val="0"/>
          <w:bCs w:val="0"/>
          <w:i w:val="0"/>
          <w:iCs w:val="0"/>
          <w:caps w:val="0"/>
          <w:spacing w:val="7"/>
          <w:kern w:val="0"/>
          <w:sz w:val="26"/>
          <w:szCs w:val="26"/>
          <w:shd w:val="clear" w:fill="FFFFFF"/>
          <w:lang w:val="en-US" w:eastAsia="zh-CN" w:bidi="ar"/>
        </w:rPr>
        <w:t>份</w:t>
      </w:r>
      <w:r>
        <w:rPr>
          <w:rFonts w:hint="default" w:ascii="Times New Roman" w:hAnsi="Times New Roman" w:eastAsia="仿宋_GB2312" w:cs="Times New Roman"/>
          <w:b w:val="0"/>
          <w:bCs w:val="0"/>
          <w:i w:val="0"/>
          <w:iCs w:val="0"/>
          <w:caps w:val="0"/>
          <w:spacing w:val="7"/>
          <w:kern w:val="0"/>
          <w:sz w:val="26"/>
          <w:szCs w:val="26"/>
          <w:shd w:val="clear" w:fill="FFFFFF"/>
          <w:lang w:val="en-US" w:eastAsia="zh-CN" w:bidi="ar"/>
        </w:rPr>
        <w:t>。</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甲方（盖章）：</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法定代表人或授权代表</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sz w:val="26"/>
          <w:szCs w:val="26"/>
          <w:lang w:eastAsia="zh-CN"/>
        </w:rPr>
      </w:pP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val="en-US"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default" w:ascii="Times New Roman" w:hAnsi="Times New Roman" w:eastAsia="仿宋_GB2312" w:cs="Times New Roman"/>
          <w:sz w:val="26"/>
          <w:szCs w:val="26"/>
        </w:rPr>
        <w:t>廉政监督联系人</w:t>
      </w:r>
      <w:r>
        <w:rPr>
          <w:rFonts w:hint="eastAsia" w:ascii="Times New Roman" w:hAnsi="Times New Roman" w:eastAsia="仿宋_GB2312" w:cs="Times New Roman"/>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sz w:val="26"/>
          <w:szCs w:val="26"/>
        </w:rPr>
      </w:pP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eastAsia="zh-CN"/>
        </w:rPr>
        <w:t>（</w:t>
      </w:r>
      <w:r>
        <w:rPr>
          <w:rFonts w:hint="eastAsia" w:ascii="Times New Roman" w:hAnsi="Times New Roman" w:eastAsia="仿宋_GB2312" w:cs="Times New Roman"/>
          <w:sz w:val="26"/>
          <w:szCs w:val="26"/>
          <w:lang w:val="en-US" w:eastAsia="zh-CN"/>
        </w:rPr>
        <w:t>签字</w:t>
      </w:r>
      <w:r>
        <w:rPr>
          <w:rFonts w:hint="default" w:ascii="Times New Roman" w:hAnsi="Times New Roman" w:eastAsia="仿宋_GB2312" w:cs="Times New Roman"/>
          <w:sz w:val="26"/>
          <w:szCs w:val="26"/>
          <w:lang w:eastAsia="zh-CN"/>
        </w:rPr>
        <w:t>）</w:t>
      </w:r>
      <w:r>
        <w:rPr>
          <w:rFonts w:hint="default" w:ascii="Times New Roman" w:hAnsi="Times New Roman" w:eastAsia="仿宋_GB2312" w:cs="Times New Roman"/>
          <w:sz w:val="26"/>
          <w:szCs w:val="26"/>
        </w:rPr>
        <w:t xml:space="preserve">      </w:t>
      </w:r>
      <w:r>
        <w:rPr>
          <w:rFonts w:hint="eastAsia" w:ascii="Times New Roman" w:hAnsi="Times New Roman" w:eastAsia="仿宋_GB2312" w:cs="Times New Roman"/>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rPr>
        <w:t>电话：</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w:t>
      </w:r>
      <w:r>
        <w:rPr>
          <w:rFonts w:hint="default" w:ascii="Times New Roman" w:hAnsi="Times New Roman" w:eastAsia="仿宋_GB2312" w:cs="Times New Roman"/>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spacing w:val="7"/>
          <w:sz w:val="32"/>
          <w:szCs w:val="32"/>
        </w:rPr>
      </w:pPr>
      <w:r>
        <w:rPr>
          <w:rFonts w:hint="eastAsia" w:ascii="Times New Roman" w:hAnsi="Times New Roman" w:eastAsia="仿宋_GB2312" w:cs="Times New Roman"/>
          <w:sz w:val="26"/>
          <w:szCs w:val="26"/>
          <w:lang w:val="en-US" w:eastAsia="zh-CN"/>
        </w:rPr>
        <w:t>日期</w:t>
      </w:r>
      <w:r>
        <w:rPr>
          <w:rFonts w:hint="default" w:ascii="Times New Roman" w:hAnsi="Times New Roman" w:eastAsia="仿宋_GB2312" w:cs="Times New Roman"/>
          <w:sz w:val="26"/>
          <w:szCs w:val="26"/>
        </w:rPr>
        <w:t>：</w:t>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ab/>
      </w:r>
      <w:r>
        <w:rPr>
          <w:rFonts w:hint="eastAsia" w:ascii="Times New Roman" w:hAnsi="Times New Roman" w:eastAsia="仿宋_GB2312" w:cs="Times New Roman"/>
          <w:sz w:val="26"/>
          <w:szCs w:val="26"/>
          <w:lang w:val="en-US" w:eastAsia="zh-CN"/>
        </w:rPr>
        <w:t xml:space="preserve">  日期</w:t>
      </w:r>
      <w:r>
        <w:rPr>
          <w:rFonts w:hint="default" w:ascii="Times New Roman" w:hAnsi="Times New Roman" w:eastAsia="仿宋_GB2312" w:cs="Times New Roman"/>
          <w:sz w:val="26"/>
          <w:szCs w:val="26"/>
        </w:rPr>
        <w:t>：</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0"/>
        <w:rPr>
          <w:rFonts w:ascii="Times New Roman" w:hAnsi="Times New Roman" w:cs="Times New Roman" w:eastAsiaTheme="minorEastAsia"/>
          <w:b/>
          <w:sz w:val="28"/>
        </w:rPr>
      </w:pPr>
      <w:bookmarkStart w:id="21" w:name="_Toc22226"/>
      <w:r>
        <w:rPr>
          <w:rFonts w:ascii="Times New Roman" w:hAnsi="Times New Roman" w:cs="Times New Roman" w:eastAsiaTheme="minorEastAsia"/>
          <w:b/>
          <w:sz w:val="28"/>
        </w:rPr>
        <w:t>第六章  投标文件格式</w:t>
      </w:r>
      <w:bookmarkEnd w:id="21"/>
    </w:p>
    <w:p>
      <w:pPr>
        <w:spacing w:line="360" w:lineRule="auto"/>
        <w:ind w:firstLine="723" w:firstLineChars="200"/>
        <w:jc w:val="center"/>
        <w:rPr>
          <w:rFonts w:ascii="Times New Roman" w:hAnsi="Times New Roman" w:cs="Times New Roman" w:eastAsiaTheme="minorEastAsia"/>
          <w:b/>
          <w:bCs w:val="0"/>
          <w:sz w:val="36"/>
          <w:szCs w:val="36"/>
        </w:rPr>
      </w:pPr>
      <w:r>
        <w:rPr>
          <w:rFonts w:hint="eastAsia"/>
          <w:b/>
          <w:bCs w:val="0"/>
          <w:color w:val="000000"/>
          <w:sz w:val="36"/>
          <w:szCs w:val="36"/>
          <w:u w:val="single"/>
          <w:lang w:val="en-US" w:eastAsia="zh-CN"/>
        </w:rPr>
        <w:t>合肥滨湖会展中心闲置车辆评估项目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numPr>
          <w:ilvl w:val="0"/>
          <w:numId w:val="4"/>
        </w:numPr>
        <w:spacing w:line="360" w:lineRule="auto"/>
        <w:jc w:val="center"/>
        <w:outlineLvl w:val="1"/>
        <w:rPr>
          <w:rFonts w:ascii="Times New Roman" w:hAnsi="Times New Roman" w:cs="Times New Roman" w:eastAsiaTheme="minorEastAsia"/>
          <w:b/>
          <w:sz w:val="24"/>
        </w:rPr>
      </w:pPr>
      <w:bookmarkStart w:id="22" w:name="_Hlk23205287"/>
      <w:r>
        <w:rPr>
          <w:rFonts w:ascii="Times New Roman" w:hAnsi="Times New Roman" w:cs="Times New Roman" w:eastAsiaTheme="minorEastAsia"/>
          <w:b/>
          <w:sz w:val="24"/>
        </w:rPr>
        <w:t>报价表</w:t>
      </w:r>
    </w:p>
    <w:p>
      <w:pPr>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sz w:val="24"/>
          <w:szCs w:val="24"/>
        </w:rPr>
        <w:t>项目名称：</w:t>
      </w:r>
      <w:r>
        <w:rPr>
          <w:rFonts w:hint="eastAsia" w:ascii="Times New Roman" w:hAnsi="Times New Roman" w:cs="Times New Roman" w:eastAsiaTheme="minorEastAsia"/>
          <w:b/>
          <w:bCs/>
          <w:szCs w:val="21"/>
          <w:u w:val="single"/>
          <w:lang w:val="en-US" w:eastAsia="zh-CN"/>
        </w:rPr>
        <w:t>合肥滨湖会展中心闲置车辆评估项目</w:t>
      </w:r>
    </w:p>
    <w:p>
      <w:pPr>
        <w:snapToGrid w:val="0"/>
        <w:spacing w:after="156" w:afterLines="50" w:line="360" w:lineRule="auto"/>
        <w:jc w:val="left"/>
        <w:rPr>
          <w:rFonts w:hint="default" w:ascii="Times New Roman" w:hAnsi="Times New Roman" w:cs="Times New Roman" w:eastAsiaTheme="minorEastAsia"/>
          <w:b/>
          <w:bCs/>
          <w:sz w:val="24"/>
          <w:szCs w:val="24"/>
          <w:u w:val="single"/>
          <w:lang w:val="en-US" w:eastAsia="zh-CN"/>
        </w:rPr>
      </w:pPr>
      <w:r>
        <w:rPr>
          <w:rFonts w:ascii="Times New Roman" w:hAnsi="Times New Roman" w:cs="Times New Roman" w:eastAsiaTheme="minorEastAsia"/>
          <w:b/>
          <w:bCs/>
          <w:sz w:val="24"/>
          <w:szCs w:val="24"/>
        </w:rPr>
        <w:t>项目编号：</w:t>
      </w:r>
      <w:r>
        <w:rPr>
          <w:rFonts w:hint="eastAsia" w:ascii="Times New Roman" w:hAnsi="Times New Roman" w:cs="Times New Roman" w:eastAsiaTheme="minorEastAsia"/>
          <w:b/>
          <w:bCs/>
          <w:szCs w:val="21"/>
          <w:u w:val="single"/>
        </w:rPr>
        <w:t>2024ZWHZXJ000</w:t>
      </w:r>
      <w:r>
        <w:rPr>
          <w:rFonts w:hint="eastAsia" w:ascii="Times New Roman" w:hAnsi="Times New Roman" w:cs="Times New Roman"/>
          <w:b/>
          <w:bCs/>
          <w:szCs w:val="21"/>
          <w:u w:val="single"/>
          <w:lang w:val="en-US" w:eastAsia="zh-CN"/>
        </w:rPr>
        <w:t>23</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pPr>
              <w:snapToGrid w:val="0"/>
              <w:rPr>
                <w:rFonts w:ascii="Times New Roman" w:hAnsi="Times New Roman" w:cs="Times New Roman" w:eastAsiaTheme="minorEastAsia"/>
                <w:sz w:val="24"/>
                <w:szCs w:val="24"/>
              </w:rPr>
            </w:pPr>
          </w:p>
          <w:p>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pPr>
              <w:snapToGrid w:val="0"/>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ascii="Times New Roman" w:hAnsi="Times New Roman" w:cs="Times New Roman" w:eastAsiaTheme="minorEastAsia"/>
                <w:b/>
                <w:strike/>
                <w:sz w:val="24"/>
                <w:szCs w:val="24"/>
                <w:highlight w:val="yellow"/>
              </w:rPr>
            </w:pPr>
            <w:r>
              <w:rPr>
                <w:rFonts w:hint="eastAsia" w:ascii="Times New Roman" w:hAnsi="Times New Roman" w:cs="Times New Roman"/>
                <w:b/>
                <w:sz w:val="24"/>
                <w:szCs w:val="24"/>
                <w:lang w:eastAsia="zh-CN"/>
              </w:rPr>
              <w:t>服务</w:t>
            </w:r>
            <w:r>
              <w:rPr>
                <w:rFonts w:ascii="Times New Roman" w:hAnsi="Times New Roman" w:cs="Times New Roman" w:eastAsiaTheme="minorEastAsia"/>
                <w:b/>
                <w:sz w:val="24"/>
                <w:szCs w:val="24"/>
              </w:rPr>
              <w:t>周期</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pPr>
              <w:rPr>
                <w:rFonts w:ascii="Times New Roman" w:hAnsi="Times New Roman" w:cs="Times New Roman" w:eastAsiaTheme="minorEastAsia"/>
                <w:b/>
                <w:sz w:val="24"/>
                <w:szCs w:val="24"/>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outlineLvl w:val="2"/>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pPr>
        <w:pStyle w:val="14"/>
        <w:spacing w:line="360" w:lineRule="auto"/>
        <w:ind w:left="0" w:leftChars="0" w:firstLine="0" w:firstLineChars="0"/>
        <w:rPr>
          <w:rFonts w:hint="eastAsia" w:ascii="Times New Roman" w:hAnsi="Times New Roman" w:cs="Times New Roman" w:eastAsiaTheme="minorEastAsia"/>
          <w:sz w:val="24"/>
          <w:lang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eastAsia="zh-CN"/>
        </w:rPr>
        <w:t>合肥政文国际会展管理有限公司</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outlineLvl w:val="2"/>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outlineLvl w:val="2"/>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22"/>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pStyle w:val="14"/>
        <w:spacing w:line="360" w:lineRule="auto"/>
        <w:rPr>
          <w:rFonts w:ascii="Times New Roman" w:hAnsi="Times New Roman" w:cs="Times New Roman" w:eastAsiaTheme="minorEastAsia"/>
          <w:b w:val="0"/>
          <w:sz w:val="24"/>
        </w:rPr>
      </w:pPr>
    </w:p>
    <w:bookmarkEnd w:id="22"/>
    <w:p>
      <w:pPr>
        <w:spacing w:line="360" w:lineRule="auto"/>
        <w:jc w:val="center"/>
        <w:outlineLvl w:val="1"/>
        <w:rPr>
          <w:rFonts w:ascii="Times New Roman" w:hAnsi="Times New Roman" w:cs="Times New Roman" w:eastAsiaTheme="minorEastAsia"/>
          <w:b/>
          <w:sz w:val="24"/>
        </w:rPr>
      </w:pPr>
      <w:r>
        <w:rPr>
          <w:rFonts w:hint="eastAsia" w:ascii="Times New Roman" w:hAnsi="Times New Roman" w:cs="Times New Roman"/>
          <w:b/>
          <w:sz w:val="24"/>
          <w:lang w:val="en-US" w:eastAsia="zh-CN"/>
        </w:rPr>
        <w:t>三</w:t>
      </w:r>
      <w:r>
        <w:rPr>
          <w:rFonts w:ascii="Times New Roman" w:hAnsi="Times New Roman" w:cs="Times New Roman" w:eastAsiaTheme="minorEastAsia"/>
          <w:b/>
          <w:sz w:val="24"/>
        </w:rPr>
        <w:t>、法定代表人（单位负责人）身份证明或授权委托书</w:t>
      </w:r>
    </w:p>
    <w:p>
      <w:pPr>
        <w:spacing w:line="500" w:lineRule="exact"/>
        <w:ind w:firstLine="1164" w:firstLineChars="414"/>
        <w:rPr>
          <w:b/>
          <w:bCs/>
          <w:sz w:val="28"/>
          <w:szCs w:val="22"/>
        </w:rPr>
      </w:pPr>
    </w:p>
    <w:p>
      <w:pPr>
        <w:spacing w:line="500" w:lineRule="exact"/>
        <w:jc w:val="center"/>
        <w:outlineLvl w:val="2"/>
        <w:rPr>
          <w:rFonts w:eastAsia="黑体"/>
          <w:bCs/>
          <w:sz w:val="24"/>
        </w:rPr>
      </w:pPr>
      <w:r>
        <w:rPr>
          <w:rFonts w:eastAsia="黑体"/>
          <w:bCs/>
          <w:sz w:val="24"/>
        </w:rPr>
        <w:t>法定代表人（单位负责人）身份证明</w:t>
      </w:r>
    </w:p>
    <w:p>
      <w:pPr>
        <w:spacing w:line="500" w:lineRule="exact"/>
        <w:ind w:left="765"/>
        <w:rPr>
          <w:szCs w:val="22"/>
        </w:rPr>
      </w:pPr>
    </w:p>
    <w:p>
      <w:pPr>
        <w:spacing w:line="500" w:lineRule="exact"/>
        <w:rPr>
          <w:szCs w:val="21"/>
        </w:rPr>
      </w:pPr>
      <w:r>
        <w:rPr>
          <w:szCs w:val="21"/>
        </w:rPr>
        <w:t>投 标 人：</w:t>
      </w:r>
      <w:r>
        <w:rPr>
          <w:szCs w:val="21"/>
          <w:u w:val="single"/>
        </w:rPr>
        <w:t xml:space="preserve">                                                        </w:t>
      </w:r>
    </w:p>
    <w:p>
      <w:pPr>
        <w:spacing w:line="500" w:lineRule="exact"/>
        <w:rPr>
          <w:szCs w:val="21"/>
        </w:rPr>
      </w:pPr>
      <w:r>
        <w:rPr>
          <w:szCs w:val="21"/>
        </w:rPr>
        <w:t>单位性质：</w:t>
      </w:r>
      <w:r>
        <w:rPr>
          <w:szCs w:val="21"/>
          <w:u w:val="single"/>
        </w:rPr>
        <w:t xml:space="preserve">                                                        </w:t>
      </w:r>
    </w:p>
    <w:p>
      <w:pPr>
        <w:spacing w:line="500" w:lineRule="exact"/>
        <w:rPr>
          <w:szCs w:val="21"/>
        </w:rPr>
      </w:pPr>
      <w:r>
        <w:rPr>
          <w:szCs w:val="21"/>
        </w:rPr>
        <w:t>地    址：</w:t>
      </w:r>
      <w:r>
        <w:rPr>
          <w:szCs w:val="21"/>
          <w:u w:val="single"/>
        </w:rPr>
        <w:t xml:space="preserve">                                                        </w:t>
      </w:r>
    </w:p>
    <w:p>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500" w:lineRule="exact"/>
        <w:rPr>
          <w:szCs w:val="21"/>
        </w:rPr>
      </w:pPr>
      <w:r>
        <w:rPr>
          <w:szCs w:val="21"/>
        </w:rPr>
        <w:t>经营期限：</w:t>
      </w:r>
      <w:r>
        <w:rPr>
          <w:szCs w:val="21"/>
          <w:u w:val="single"/>
        </w:rPr>
        <w:t xml:space="preserve">                                                        </w:t>
      </w:r>
    </w:p>
    <w:p>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pPr>
        <w:spacing w:line="500" w:lineRule="exact"/>
        <w:rPr>
          <w:szCs w:val="21"/>
        </w:rPr>
      </w:pPr>
      <w:r>
        <w:rPr>
          <w:szCs w:val="21"/>
        </w:rPr>
        <w:t>系</w:t>
      </w:r>
      <w:r>
        <w:rPr>
          <w:szCs w:val="21"/>
          <w:u w:val="single"/>
        </w:rPr>
        <w:t xml:space="preserve">                                        </w:t>
      </w:r>
      <w:r>
        <w:rPr>
          <w:szCs w:val="21"/>
        </w:rPr>
        <w:t>（投标人名称）的法定代表人（单位负责人）。</w:t>
      </w:r>
    </w:p>
    <w:p>
      <w:pPr>
        <w:spacing w:line="500" w:lineRule="exact"/>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w:t>
      </w:r>
      <w:r>
        <w:rPr>
          <w:szCs w:val="21"/>
          <w:u w:val="single"/>
        </w:rPr>
        <w:t xml:space="preserve">                          </w:t>
      </w:r>
      <w:r>
        <w:rPr>
          <w:szCs w:val="21"/>
        </w:rPr>
        <w:t>（盖单位章）</w:t>
      </w:r>
    </w:p>
    <w:p>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p>
      <w:pPr>
        <w:spacing w:line="500" w:lineRule="exact"/>
        <w:jc w:val="center"/>
        <w:rPr>
          <w:rFonts w:hint="default" w:eastAsia="黑体"/>
          <w:sz w:val="32"/>
          <w:szCs w:val="32"/>
          <w:lang w:val="en-US" w:eastAsia="zh-CN"/>
        </w:rPr>
      </w:pPr>
      <w:bookmarkStart w:id="23" w:name="_Toc535241227"/>
      <w:bookmarkStart w:id="24" w:name="_Toc535241084"/>
      <w:bookmarkStart w:id="25" w:name="_Toc535241130"/>
      <w:bookmarkStart w:id="26" w:name="_Toc224103498"/>
      <w:bookmarkStart w:id="27" w:name="_Toc224103497"/>
      <w:r>
        <w:rPr>
          <w:sz w:val="32"/>
          <w:szCs w:val="32"/>
        </w:rPr>
        <w:br w:type="page"/>
      </w:r>
      <w:r>
        <w:rPr>
          <w:rFonts w:eastAsia="黑体"/>
          <w:bCs/>
          <w:sz w:val="24"/>
        </w:rPr>
        <w:t>授权委托书</w:t>
      </w:r>
      <w:bookmarkEnd w:id="23"/>
      <w:bookmarkEnd w:id="24"/>
      <w:bookmarkEnd w:id="25"/>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26"/>
      <w:bookmarkEnd w:id="27"/>
    </w:p>
    <w:p>
      <w:pPr>
        <w:bidi w:val="0"/>
      </w:pPr>
      <w:r>
        <w:rPr>
          <w:rFonts w:ascii="Times New Roman" w:hAnsi="Times New Roman"/>
          <w:kern w:val="0"/>
          <w:szCs w:val="22"/>
        </w:rPr>
        <w:br w:type="page"/>
      </w:r>
    </w:p>
    <w:p>
      <w:pPr>
        <w:rPr>
          <w:rFonts w:ascii="Times New Roman" w:hAnsi="Times New Roman" w:cs="Times New Roman"/>
        </w:rPr>
      </w:pPr>
    </w:p>
    <w:p>
      <w:pPr>
        <w:widowControl/>
        <w:jc w:val="center"/>
        <w:outlineLvl w:val="1"/>
        <w:rPr>
          <w:rFonts w:ascii="Times New Roman" w:hAnsi="Times New Roman" w:cs="Times New Roman" w:eastAsiaTheme="minorEastAsia"/>
          <w:b/>
          <w:sz w:val="24"/>
        </w:rPr>
      </w:pPr>
      <w:bookmarkStart w:id="28" w:name="_Toc520299364"/>
      <w:bookmarkStart w:id="29" w:name="_Hlk11701496"/>
      <w:r>
        <w:rPr>
          <w:rFonts w:hint="eastAsia" w:ascii="Times New Roman" w:hAnsi="Times New Roman" w:cs="Times New Roman"/>
          <w:b/>
          <w:sz w:val="24"/>
          <w:lang w:val="en-US" w:eastAsia="zh-CN"/>
        </w:rPr>
        <w:t>四</w:t>
      </w:r>
      <w:r>
        <w:rPr>
          <w:rFonts w:ascii="Times New Roman" w:hAnsi="Times New Roman" w:cs="Times New Roman" w:eastAsiaTheme="minorEastAsia"/>
          <w:b/>
          <w:sz w:val="24"/>
        </w:rPr>
        <w:t>、</w:t>
      </w:r>
      <w:bookmarkEnd w:id="28"/>
      <w:bookmarkEnd w:id="29"/>
      <w:r>
        <w:rPr>
          <w:rFonts w:ascii="Times New Roman" w:hAnsi="Times New Roman" w:cs="Times New Roman" w:eastAsiaTheme="minorEastAsia"/>
          <w:b/>
          <w:sz w:val="24"/>
        </w:rPr>
        <w:t>其他相关证明材料</w:t>
      </w:r>
    </w:p>
    <w:p>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pPr>
        <w:spacing w:line="360" w:lineRule="auto"/>
        <w:ind w:firstLine="480" w:firstLineChars="200"/>
        <w:jc w:val="center"/>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p>
    <w:p>
      <w:pPr>
        <w:spacing w:line="360" w:lineRule="auto"/>
        <w:ind w:firstLine="435"/>
        <w:rPr>
          <w:rFonts w:ascii="Times New Roman" w:hAnsi="Times New Roman" w:cs="Times New Roman" w:eastAsiaTheme="minorEastAsia"/>
          <w:sz w:val="24"/>
        </w:rPr>
      </w:pPr>
    </w:p>
    <w:sectPr>
      <w:headerReference r:id="rId4" w:type="default"/>
      <w:footerReference r:id="rId5" w:type="default"/>
      <w:pgSz w:w="11906" w:h="16838"/>
      <w:pgMar w:top="1440" w:right="1800" w:bottom="1440" w:left="1800" w:header="851" w:footer="992" w:gutter="0"/>
      <w:pgNumType w:start="2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2BBDC4E-ECD6-4F36-8EC5-D3DE05D01C14}"/>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F2D2D68-473D-4512-A55C-F88026CE4F5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embedRegular r:id="rId3" w:fontKey="{1F58FC4A-26A1-43D3-90AC-76B2AED7A55C}"/>
  </w:font>
  <w:font w:name="Segoe UI Symbol">
    <w:panose1 w:val="020B0502040204020203"/>
    <w:charset w:val="00"/>
    <w:family w:val="swiss"/>
    <w:pitch w:val="default"/>
    <w:sig w:usb0="8000006F" w:usb1="1200FBEF" w:usb2="0064C000" w:usb3="00000002" w:csb0="00000001" w:csb1="40000000"/>
    <w:embedRegular r:id="rId4" w:fontKey="{CF9192E5-BF33-48ED-8CDF-B0242F8A54B7}"/>
  </w:font>
  <w:font w:name="Wingdings 2">
    <w:panose1 w:val="05020102010507070707"/>
    <w:charset w:val="02"/>
    <w:family w:val="roman"/>
    <w:pitch w:val="default"/>
    <w:sig w:usb0="00000000" w:usb1="00000000" w:usb2="00000000" w:usb3="00000000" w:csb0="80000000" w:csb1="00000000"/>
    <w:embedRegular r:id="rId5" w:fontKey="{05857547-B0F3-4DF0-8797-278E897A9D9E}"/>
  </w:font>
  <w:font w:name="仿宋_GB2312">
    <w:panose1 w:val="02010609030101010101"/>
    <w:charset w:val="86"/>
    <w:family w:val="modern"/>
    <w:pitch w:val="default"/>
    <w:sig w:usb0="00000001" w:usb1="080E0000" w:usb2="00000000" w:usb3="00000000" w:csb0="00040000" w:csb1="00000000"/>
    <w:embedRegular r:id="rId6" w:fontKey="{74C4EE30-5AE7-498F-8672-092DCF6F819B}"/>
  </w:font>
  <w:font w:name="Microsoft YaHei UI">
    <w:altName w:val="宋体"/>
    <w:panose1 w:val="020B0503020204020204"/>
    <w:charset w:val="86"/>
    <w:family w:val="auto"/>
    <w:pitch w:val="default"/>
    <w:sig w:usb0="00000000" w:usb1="00000000" w:usb2="00000016" w:usb3="00000000" w:csb0="0004001F" w:csb1="00000000"/>
    <w:embedRegular r:id="rId7" w:fontKey="{529CC6BE-FF84-46D1-ADC3-0FDC0C126B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Theme="minorEastAsia" w:hAnsiTheme="minorEastAsia"/>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Theme="minorEastAsia" w:hAnsiTheme="minorEastAsia" w:eastAsiaTheme="minorEastAsia"/>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6"/>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p>
                    <w:pPr>
                      <w:pStyle w:val="2"/>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1"/>
        <w:szCs w:val="21"/>
        <w:lang w:eastAsia="zh-CN"/>
      </w:rPr>
    </w:pPr>
    <w:r>
      <w:rPr>
        <w:rFonts w:hint="eastAsia"/>
        <w:color w:val="000000"/>
        <w:u w:val="single"/>
      </w:rPr>
      <w:drawing>
        <wp:inline distT="0" distB="0" distL="114300" distR="114300">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1"/>
        <w:szCs w:val="21"/>
        <w:u w:val="single"/>
        <w:lang w:eastAsia="zh-CN"/>
      </w:rPr>
      <w:t>合肥政文国际会展管理有限公司</w:t>
    </w:r>
    <w:r>
      <w:rPr>
        <w:rFonts w:hint="eastAsia" w:ascii="Times New Roman" w:hAnsi="Times New Roman" w:eastAsia="宋体" w:cs="Times New Roman"/>
        <w:sz w:val="21"/>
        <w:szCs w:val="21"/>
        <w:u w:val="single"/>
        <w:lang w:val="en-US" w:eastAsia="zh-CN"/>
      </w:rPr>
      <w:t>询价文件示范文本</w:t>
    </w:r>
    <w:r>
      <w:rPr>
        <w:rFonts w:hint="eastAsia" w:ascii="Times New Roman" w:hAnsi="Times New Roman" w:eastAsia="宋体" w:cs="Times New Roman"/>
        <w:sz w:val="21"/>
        <w:szCs w:val="21"/>
        <w:u w:val="single"/>
        <w:lang w:eastAsia="zh-CN"/>
      </w:rPr>
      <w:t>（服务</w:t>
    </w:r>
    <w:r>
      <w:rPr>
        <w:rFonts w:hint="eastAsia" w:ascii="Times New Roman" w:hAnsi="Times New Roman" w:eastAsia="宋体" w:cs="Times New Roman"/>
        <w:sz w:val="21"/>
        <w:szCs w:val="21"/>
        <w:u w:val="single"/>
      </w:rPr>
      <w:t>类</w:t>
    </w:r>
    <w:r>
      <w:rPr>
        <w:rFonts w:hint="eastAsia" w:ascii="Times New Roman" w:hAnsi="Times New Roman" w:eastAsia="宋体" w:cs="Times New Roman"/>
        <w:sz w:val="21"/>
        <w:szCs w:val="21"/>
        <w:u w:val="single"/>
        <w:lang w:eastAsia="zh-CN"/>
      </w:rPr>
      <w:t>）</w:t>
    </w:r>
  </w:p>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90AECC96"/>
    <w:multiLevelType w:val="singleLevel"/>
    <w:tmpl w:val="90AECC96"/>
    <w:lvl w:ilvl="0" w:tentative="0">
      <w:start w:val="1"/>
      <w:numFmt w:val="chineseCounting"/>
      <w:suff w:val="nothing"/>
      <w:lvlText w:val="%1、"/>
      <w:lvlJc w:val="left"/>
      <w:rPr>
        <w:rFonts w:hint="eastAsia"/>
      </w:rPr>
    </w:lvl>
  </w:abstractNum>
  <w:abstractNum w:abstractNumId="3">
    <w:nsid w:val="AAF910DD"/>
    <w:multiLevelType w:val="singleLevel"/>
    <w:tmpl w:val="AAF910DD"/>
    <w:lvl w:ilvl="0" w:tentative="0">
      <w:start w:val="2"/>
      <w:numFmt w:val="decimal"/>
      <w:suff w:val="space"/>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YmRlOWQ0OGE0ODY2MmY4NzZmMDYwOTg3ZmY1MDA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166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865202A"/>
    <w:rsid w:val="094A1BE5"/>
    <w:rsid w:val="097D52B6"/>
    <w:rsid w:val="09B554AF"/>
    <w:rsid w:val="0DAB22C6"/>
    <w:rsid w:val="11554019"/>
    <w:rsid w:val="129462CC"/>
    <w:rsid w:val="13397BCE"/>
    <w:rsid w:val="137352D3"/>
    <w:rsid w:val="14717EAE"/>
    <w:rsid w:val="17356927"/>
    <w:rsid w:val="18B232E6"/>
    <w:rsid w:val="18F05B33"/>
    <w:rsid w:val="18F71640"/>
    <w:rsid w:val="19837B6D"/>
    <w:rsid w:val="19A4731C"/>
    <w:rsid w:val="1A357A52"/>
    <w:rsid w:val="1A6A3C67"/>
    <w:rsid w:val="1A6B5E42"/>
    <w:rsid w:val="1AF96A3E"/>
    <w:rsid w:val="1C1F6775"/>
    <w:rsid w:val="1C9D605B"/>
    <w:rsid w:val="1CDB6B83"/>
    <w:rsid w:val="1DAA2521"/>
    <w:rsid w:val="20E74328"/>
    <w:rsid w:val="21996C78"/>
    <w:rsid w:val="23B75C54"/>
    <w:rsid w:val="245F009A"/>
    <w:rsid w:val="24840320"/>
    <w:rsid w:val="25164BFC"/>
    <w:rsid w:val="26522036"/>
    <w:rsid w:val="26D075A8"/>
    <w:rsid w:val="273F3667"/>
    <w:rsid w:val="2783171D"/>
    <w:rsid w:val="29E5020D"/>
    <w:rsid w:val="2C247DAC"/>
    <w:rsid w:val="2CC14B77"/>
    <w:rsid w:val="2F733923"/>
    <w:rsid w:val="2F760751"/>
    <w:rsid w:val="31A10FBD"/>
    <w:rsid w:val="31EB11BF"/>
    <w:rsid w:val="32D57EA5"/>
    <w:rsid w:val="33075DFB"/>
    <w:rsid w:val="33263D6A"/>
    <w:rsid w:val="35A43BDE"/>
    <w:rsid w:val="35CF4AD8"/>
    <w:rsid w:val="379C71E3"/>
    <w:rsid w:val="39B74BDE"/>
    <w:rsid w:val="3A0D2667"/>
    <w:rsid w:val="3B3B6D13"/>
    <w:rsid w:val="3D7B3D3F"/>
    <w:rsid w:val="3F53046B"/>
    <w:rsid w:val="40780A59"/>
    <w:rsid w:val="42784CF1"/>
    <w:rsid w:val="4AF63A7C"/>
    <w:rsid w:val="4BDA4326"/>
    <w:rsid w:val="4DB311C4"/>
    <w:rsid w:val="4E920EE8"/>
    <w:rsid w:val="503B1382"/>
    <w:rsid w:val="505F0EE9"/>
    <w:rsid w:val="51E06725"/>
    <w:rsid w:val="52AD6928"/>
    <w:rsid w:val="52F82D96"/>
    <w:rsid w:val="547B4EA9"/>
    <w:rsid w:val="550F7B55"/>
    <w:rsid w:val="55122FD8"/>
    <w:rsid w:val="55926D29"/>
    <w:rsid w:val="57572CCF"/>
    <w:rsid w:val="57836E6C"/>
    <w:rsid w:val="57ED2B88"/>
    <w:rsid w:val="58E53EC8"/>
    <w:rsid w:val="58F710B6"/>
    <w:rsid w:val="599B1268"/>
    <w:rsid w:val="59E766FB"/>
    <w:rsid w:val="5AF2460E"/>
    <w:rsid w:val="5C3F2EED"/>
    <w:rsid w:val="5C8968EE"/>
    <w:rsid w:val="5CF62206"/>
    <w:rsid w:val="5F1C412F"/>
    <w:rsid w:val="5F596331"/>
    <w:rsid w:val="60B151FE"/>
    <w:rsid w:val="62C31218"/>
    <w:rsid w:val="63716633"/>
    <w:rsid w:val="63F25E5E"/>
    <w:rsid w:val="64586600"/>
    <w:rsid w:val="652B15AB"/>
    <w:rsid w:val="654B14AA"/>
    <w:rsid w:val="65B67155"/>
    <w:rsid w:val="67B8418F"/>
    <w:rsid w:val="6AEE4555"/>
    <w:rsid w:val="6AF723A7"/>
    <w:rsid w:val="6B486391"/>
    <w:rsid w:val="6BE566A3"/>
    <w:rsid w:val="6C4C5911"/>
    <w:rsid w:val="6CC45353"/>
    <w:rsid w:val="6CD2613D"/>
    <w:rsid w:val="6CDE4879"/>
    <w:rsid w:val="6D813CF1"/>
    <w:rsid w:val="6E1A0886"/>
    <w:rsid w:val="7016507D"/>
    <w:rsid w:val="71B0505E"/>
    <w:rsid w:val="737A1DC7"/>
    <w:rsid w:val="73E35E45"/>
    <w:rsid w:val="74561EEC"/>
    <w:rsid w:val="74F14689"/>
    <w:rsid w:val="74F80B83"/>
    <w:rsid w:val="75387844"/>
    <w:rsid w:val="76D50550"/>
    <w:rsid w:val="772F044F"/>
    <w:rsid w:val="77324D59"/>
    <w:rsid w:val="783A06B1"/>
    <w:rsid w:val="78435456"/>
    <w:rsid w:val="7AAF0711"/>
    <w:rsid w:val="7ACD0A2E"/>
    <w:rsid w:val="7DB87774"/>
    <w:rsid w:val="7DDB5C69"/>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7"/>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49"/>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8">
    <w:name w:val="heading 4"/>
    <w:basedOn w:val="1"/>
    <w:next w:val="1"/>
    <w:link w:val="54"/>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5">
    <w:name w:val="Default Paragraph Font"/>
    <w:autoRedefine/>
    <w:semiHidden/>
    <w:qFormat/>
    <w:uiPriority w:val="0"/>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next w:val="4"/>
    <w:autoRedefine/>
    <w:semiHidden/>
    <w:unhideWhenUsed/>
    <w:qFormat/>
    <w:uiPriority w:val="0"/>
    <w:pPr>
      <w:spacing w:after="120"/>
      <w:ind w:left="420" w:leftChars="200"/>
    </w:pPr>
  </w:style>
  <w:style w:type="paragraph" w:styleId="4">
    <w:name w:val="envelope return"/>
    <w:basedOn w:val="1"/>
    <w:qFormat/>
    <w:uiPriority w:val="0"/>
  </w:style>
  <w:style w:type="paragraph" w:styleId="9">
    <w:name w:val="Normal Indent"/>
    <w:basedOn w:val="1"/>
    <w:autoRedefine/>
    <w:qFormat/>
    <w:uiPriority w:val="0"/>
    <w:pPr>
      <w:ind w:firstLine="420" w:firstLineChars="200"/>
    </w:pPr>
  </w:style>
  <w:style w:type="paragraph" w:styleId="10">
    <w:name w:val="annotation text"/>
    <w:basedOn w:val="1"/>
    <w:link w:val="46"/>
    <w:autoRedefine/>
    <w:qFormat/>
    <w:uiPriority w:val="0"/>
    <w:pPr>
      <w:jc w:val="left"/>
    </w:pPr>
  </w:style>
  <w:style w:type="paragraph" w:styleId="11">
    <w:name w:val="Body Text"/>
    <w:basedOn w:val="1"/>
    <w:autoRedefine/>
    <w:qFormat/>
    <w:uiPriority w:val="0"/>
    <w:pPr>
      <w:spacing w:after="120" w:afterLines="0" w:afterAutospacing="0"/>
    </w:pPr>
  </w:style>
  <w:style w:type="paragraph" w:styleId="12">
    <w:name w:val="toc 3"/>
    <w:basedOn w:val="1"/>
    <w:next w:val="1"/>
    <w:autoRedefine/>
    <w:qFormat/>
    <w:uiPriority w:val="0"/>
    <w:pPr>
      <w:ind w:left="840" w:leftChars="400"/>
    </w:pPr>
  </w:style>
  <w:style w:type="paragraph" w:styleId="13">
    <w:name w:val="Plain Text"/>
    <w:basedOn w:val="1"/>
    <w:link w:val="35"/>
    <w:autoRedefine/>
    <w:qFormat/>
    <w:uiPriority w:val="0"/>
    <w:rPr>
      <w:rFonts w:ascii="宋体" w:hAnsi="Courier New"/>
    </w:rPr>
  </w:style>
  <w:style w:type="paragraph" w:styleId="14">
    <w:name w:val="Date"/>
    <w:basedOn w:val="1"/>
    <w:next w:val="1"/>
    <w:link w:val="42"/>
    <w:autoRedefine/>
    <w:qFormat/>
    <w:uiPriority w:val="0"/>
    <w:pPr>
      <w:ind w:left="100" w:leftChars="2500"/>
    </w:pPr>
  </w:style>
  <w:style w:type="paragraph" w:styleId="15">
    <w:name w:val="Balloon Text"/>
    <w:basedOn w:val="1"/>
    <w:link w:val="29"/>
    <w:autoRedefine/>
    <w:qFormat/>
    <w:uiPriority w:val="0"/>
    <w:rPr>
      <w:sz w:val="18"/>
    </w:rPr>
  </w:style>
  <w:style w:type="paragraph" w:styleId="16">
    <w:name w:val="footer"/>
    <w:basedOn w:val="1"/>
    <w:link w:val="34"/>
    <w:autoRedefine/>
    <w:qFormat/>
    <w:uiPriority w:val="0"/>
    <w:pPr>
      <w:tabs>
        <w:tab w:val="center" w:pos="4153"/>
        <w:tab w:val="right" w:pos="8306"/>
      </w:tabs>
      <w:snapToGrid w:val="0"/>
      <w:jc w:val="left"/>
    </w:pPr>
    <w:rPr>
      <w:sz w:val="18"/>
    </w:rPr>
  </w:style>
  <w:style w:type="paragraph" w:styleId="17">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autoRedefine/>
    <w:qFormat/>
    <w:uiPriority w:val="0"/>
  </w:style>
  <w:style w:type="paragraph" w:styleId="19">
    <w:name w:val="toc 2"/>
    <w:basedOn w:val="1"/>
    <w:next w:val="1"/>
    <w:autoRedefine/>
    <w:qFormat/>
    <w:uiPriority w:val="0"/>
    <w:pPr>
      <w:ind w:left="420" w:leftChars="200"/>
    </w:pPr>
  </w:style>
  <w:style w:type="paragraph" w:styleId="2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1">
    <w:name w:val="index 1"/>
    <w:basedOn w:val="1"/>
    <w:next w:val="1"/>
    <w:autoRedefine/>
    <w:qFormat/>
    <w:uiPriority w:val="0"/>
  </w:style>
  <w:style w:type="paragraph" w:styleId="22">
    <w:name w:val="Body Text First Indent"/>
    <w:basedOn w:val="11"/>
    <w:autoRedefine/>
    <w:qFormat/>
    <w:uiPriority w:val="0"/>
    <w:pPr>
      <w:ind w:firstLine="420" w:firstLineChars="100"/>
    </w:pPr>
  </w:style>
  <w:style w:type="table" w:styleId="24">
    <w:name w:val="Table Grid"/>
    <w:basedOn w:val="23"/>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0"/>
    <w:rPr>
      <w:b/>
    </w:rPr>
  </w:style>
  <w:style w:type="character" w:styleId="27">
    <w:name w:val="Emphasis"/>
    <w:basedOn w:val="25"/>
    <w:autoRedefine/>
    <w:qFormat/>
    <w:uiPriority w:val="0"/>
    <w:rPr>
      <w:i/>
    </w:rPr>
  </w:style>
  <w:style w:type="character" w:styleId="28">
    <w:name w:val="Hyperlink"/>
    <w:basedOn w:val="25"/>
    <w:autoRedefine/>
    <w:qFormat/>
    <w:uiPriority w:val="0"/>
    <w:rPr>
      <w:color w:val="0000FF"/>
      <w:u w:val="single"/>
    </w:rPr>
  </w:style>
  <w:style w:type="character" w:customStyle="1" w:styleId="29">
    <w:name w:val="批注框文本 字符"/>
    <w:link w:val="15"/>
    <w:autoRedefine/>
    <w:semiHidden/>
    <w:qFormat/>
    <w:uiPriority w:val="99"/>
    <w:rPr>
      <w:sz w:val="18"/>
    </w:rPr>
  </w:style>
  <w:style w:type="paragraph" w:customStyle="1" w:styleId="30">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1">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2">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3">
    <w:name w:val="页眉 字符"/>
    <w:link w:val="17"/>
    <w:autoRedefine/>
    <w:qFormat/>
    <w:uiPriority w:val="0"/>
    <w:rPr>
      <w:sz w:val="18"/>
    </w:rPr>
  </w:style>
  <w:style w:type="character" w:customStyle="1" w:styleId="34">
    <w:name w:val="页脚 字符"/>
    <w:link w:val="16"/>
    <w:autoRedefine/>
    <w:qFormat/>
    <w:uiPriority w:val="99"/>
    <w:rPr>
      <w:sz w:val="18"/>
    </w:rPr>
  </w:style>
  <w:style w:type="character" w:customStyle="1" w:styleId="35">
    <w:name w:val="纯文本 字符"/>
    <w:link w:val="13"/>
    <w:autoRedefine/>
    <w:qFormat/>
    <w:uiPriority w:val="0"/>
    <w:rPr>
      <w:rFonts w:ascii="宋体" w:hAnsi="Courier New"/>
    </w:rPr>
  </w:style>
  <w:style w:type="character" w:customStyle="1" w:styleId="36">
    <w:name w:val="纯文本 字符1"/>
    <w:basedOn w:val="25"/>
    <w:autoRedefine/>
    <w:semiHidden/>
    <w:qFormat/>
    <w:uiPriority w:val="99"/>
    <w:rPr>
      <w:rFonts w:hAnsi="Courier New" w:cs="Courier New" w:asciiTheme="minorEastAsia"/>
      <w:szCs w:val="20"/>
    </w:rPr>
  </w:style>
  <w:style w:type="character" w:customStyle="1" w:styleId="37">
    <w:name w:val="未处理的提及1"/>
    <w:basedOn w:val="25"/>
    <w:autoRedefine/>
    <w:semiHidden/>
    <w:unhideWhenUsed/>
    <w:qFormat/>
    <w:uiPriority w:val="99"/>
    <w:rPr>
      <w:color w:val="605E5C"/>
      <w:shd w:val="clear" w:color="auto" w:fill="E1DFDD"/>
    </w:rPr>
  </w:style>
  <w:style w:type="paragraph" w:styleId="38">
    <w:name w:val="List Paragraph"/>
    <w:basedOn w:val="1"/>
    <w:autoRedefine/>
    <w:qFormat/>
    <w:uiPriority w:val="34"/>
    <w:pPr>
      <w:ind w:firstLine="420" w:firstLineChars="200"/>
    </w:pPr>
  </w:style>
  <w:style w:type="paragraph" w:customStyle="1" w:styleId="39">
    <w:name w:val="Char Char Char Char Char Char Char1 Char"/>
    <w:basedOn w:val="1"/>
    <w:autoRedefine/>
    <w:qFormat/>
    <w:uiPriority w:val="0"/>
    <w:rPr>
      <w:rFonts w:ascii="Arial" w:hAnsi="Arial" w:eastAsia="宋体" w:cs="Arial"/>
      <w:sz w:val="24"/>
    </w:rPr>
  </w:style>
  <w:style w:type="table" w:customStyle="1" w:styleId="40">
    <w:name w:val="网格表 1 浅色1"/>
    <w:basedOn w:val="23"/>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1">
    <w:name w:val="日期 字符"/>
    <w:basedOn w:val="25"/>
    <w:autoRedefine/>
    <w:semiHidden/>
    <w:qFormat/>
    <w:uiPriority w:val="99"/>
    <w:rPr>
      <w:rFonts w:ascii="@仿宋_GB2312" w:hAnsi="@仿宋_GB2312" w:eastAsia="@仿宋_GB2312" w:cs="@仿宋_GB2312"/>
      <w:szCs w:val="20"/>
    </w:rPr>
  </w:style>
  <w:style w:type="character" w:customStyle="1" w:styleId="42">
    <w:name w:val="日期 字符1"/>
    <w:link w:val="14"/>
    <w:autoRedefine/>
    <w:qFormat/>
    <w:uiPriority w:val="0"/>
  </w:style>
  <w:style w:type="character" w:customStyle="1" w:styleId="43">
    <w:name w:val="纯文本 Char1"/>
    <w:link w:val="44"/>
    <w:autoRedefine/>
    <w:qFormat/>
    <w:locked/>
    <w:uiPriority w:val="0"/>
    <w:rPr>
      <w:rFonts w:ascii="Arial" w:hAnsi="Arial" w:eastAsia="Arial"/>
      <w:kern w:val="2"/>
      <w:sz w:val="21"/>
      <w:lang w:val="en-US" w:eastAsia="zh-CN" w:bidi="ar-SA"/>
    </w:rPr>
  </w:style>
  <w:style w:type="paragraph" w:customStyle="1" w:styleId="44">
    <w:name w:val="纯文本1"/>
    <w:basedOn w:val="1"/>
    <w:link w:val="43"/>
    <w:autoRedefine/>
    <w:qFormat/>
    <w:uiPriority w:val="0"/>
    <w:rPr>
      <w:rFonts w:ascii="Arial" w:hAnsi="Arial" w:eastAsia="Arial" w:cstheme="minorBidi"/>
      <w:szCs w:val="22"/>
    </w:rPr>
  </w:style>
  <w:style w:type="character" w:customStyle="1" w:styleId="45">
    <w:name w:val="批注文字 Char"/>
    <w:basedOn w:val="25"/>
    <w:autoRedefine/>
    <w:semiHidden/>
    <w:qFormat/>
    <w:uiPriority w:val="99"/>
    <w:rPr>
      <w:rFonts w:ascii="@仿宋_GB2312" w:hAnsi="@仿宋_GB2312" w:eastAsia="@仿宋_GB2312" w:cs="@仿宋_GB2312"/>
      <w:szCs w:val="20"/>
    </w:rPr>
  </w:style>
  <w:style w:type="character" w:customStyle="1" w:styleId="46">
    <w:name w:val="批注文字 字符"/>
    <w:link w:val="10"/>
    <w:autoRedefine/>
    <w:qFormat/>
    <w:uiPriority w:val="0"/>
  </w:style>
  <w:style w:type="character" w:customStyle="1" w:styleId="47">
    <w:name w:val="标题 1 字符"/>
    <w:link w:val="5"/>
    <w:autoRedefine/>
    <w:qFormat/>
    <w:uiPriority w:val="9"/>
    <w:rPr>
      <w:b/>
      <w:kern w:val="44"/>
      <w:sz w:val="44"/>
    </w:rPr>
  </w:style>
  <w:style w:type="paragraph" w:customStyle="1" w:styleId="48">
    <w:name w:val="TOC 标题1"/>
    <w:basedOn w:val="5"/>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字符"/>
    <w:link w:val="7"/>
    <w:autoRedefine/>
    <w:semiHidden/>
    <w:qFormat/>
    <w:uiPriority w:val="9"/>
    <w:rPr>
      <w:b/>
      <w:sz w:val="32"/>
    </w:rPr>
  </w:style>
  <w:style w:type="character" w:customStyle="1" w:styleId="50">
    <w:name w:val="fontstyle01"/>
    <w:basedOn w:val="25"/>
    <w:autoRedefine/>
    <w:qFormat/>
    <w:uiPriority w:val="0"/>
    <w:rPr>
      <w:rFonts w:hint="eastAsia" w:ascii="宋体" w:hAnsi="宋体" w:eastAsia="宋体"/>
      <w:color w:val="000000"/>
      <w:sz w:val="22"/>
      <w:szCs w:val="22"/>
    </w:rPr>
  </w:style>
  <w:style w:type="character" w:customStyle="1" w:styleId="51">
    <w:name w:val="fontstyle21"/>
    <w:basedOn w:val="25"/>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5"/>
    <w:autoRedefine/>
    <w:semiHidden/>
    <w:qFormat/>
    <w:uiPriority w:val="9"/>
    <w:rPr>
      <w:rFonts w:asciiTheme="majorHAnsi" w:hAnsiTheme="majorHAnsi" w:eastAsiaTheme="majorEastAsia" w:cstheme="majorBidi"/>
      <w:b/>
      <w:bCs/>
      <w:sz w:val="28"/>
      <w:szCs w:val="28"/>
    </w:rPr>
  </w:style>
  <w:style w:type="character" w:customStyle="1" w:styleId="54">
    <w:name w:val="标题 4 字符1"/>
    <w:link w:val="8"/>
    <w:autoRedefine/>
    <w:qFormat/>
    <w:uiPriority w:val="0"/>
    <w:rPr>
      <w:rFonts w:ascii="Arial" w:hAnsi="Arial" w:eastAsia="黑体"/>
      <w:b/>
      <w:sz w:val="28"/>
    </w:rPr>
  </w:style>
  <w:style w:type="paragraph" w:customStyle="1" w:styleId="55">
    <w:name w:val="普通 (Web)"/>
    <w:basedOn w:val="1"/>
    <w:autoRedefine/>
    <w:qFormat/>
    <w:uiPriority w:val="0"/>
    <w:pPr>
      <w:widowControl/>
      <w:spacing w:before="100" w:beforeAutospacing="1" w:after="100" w:afterAutospacing="1"/>
      <w:jc w:val="left"/>
    </w:pPr>
    <w:rPr>
      <w:rFonts w:cs="Times New Roman"/>
      <w:sz w:val="24"/>
      <w:szCs w:val="24"/>
    </w:rPr>
  </w:style>
  <w:style w:type="character" w:customStyle="1" w:styleId="56">
    <w:name w:val="font11"/>
    <w:basedOn w:val="25"/>
    <w:qFormat/>
    <w:uiPriority w:val="0"/>
    <w:rPr>
      <w:rFonts w:hint="default" w:ascii="Times New Roman" w:hAnsi="Times New Roman" w:cs="Times New Roman"/>
      <w:color w:val="000000"/>
      <w:sz w:val="20"/>
      <w:szCs w:val="20"/>
      <w:u w:val="none"/>
    </w:rPr>
  </w:style>
  <w:style w:type="character" w:customStyle="1" w:styleId="57">
    <w:name w:val="font41"/>
    <w:basedOn w:val="25"/>
    <w:qFormat/>
    <w:uiPriority w:val="0"/>
    <w:rPr>
      <w:rFonts w:hint="eastAsia" w:ascii="宋体" w:hAnsi="宋体" w:eastAsia="宋体" w:cs="宋体"/>
      <w:color w:val="000000"/>
      <w:sz w:val="20"/>
      <w:szCs w:val="20"/>
      <w:u w:val="none"/>
    </w:rPr>
  </w:style>
  <w:style w:type="character" w:customStyle="1" w:styleId="58">
    <w:name w:val="font51"/>
    <w:basedOn w:val="25"/>
    <w:qFormat/>
    <w:uiPriority w:val="0"/>
    <w:rPr>
      <w:rFonts w:hint="eastAsia" w:ascii="宋体" w:hAnsi="宋体" w:eastAsia="宋体" w:cs="宋体"/>
      <w:b/>
      <w:bCs/>
      <w:color w:val="000000"/>
      <w:sz w:val="20"/>
      <w:szCs w:val="20"/>
      <w:u w:val="none"/>
    </w:rPr>
  </w:style>
  <w:style w:type="character" w:customStyle="1" w:styleId="59">
    <w:name w:val="font101"/>
    <w:basedOn w:val="25"/>
    <w:qFormat/>
    <w:uiPriority w:val="0"/>
    <w:rPr>
      <w:rFonts w:hint="default" w:ascii="Times New Roman" w:hAnsi="Times New Roman" w:cs="Times New Roman"/>
      <w:b/>
      <w:bCs/>
      <w:color w:val="000000"/>
      <w:sz w:val="20"/>
      <w:szCs w:val="20"/>
      <w:u w:val="none"/>
    </w:rPr>
  </w:style>
  <w:style w:type="paragraph" w:customStyle="1" w:styleId="60">
    <w:name w:val="Body text|1"/>
    <w:qFormat/>
    <w:uiPriority w:val="0"/>
    <w:pPr>
      <w:widowControl w:val="0"/>
      <w:spacing w:line="425" w:lineRule="auto"/>
      <w:ind w:firstLine="400"/>
    </w:pPr>
    <w:rPr>
      <w:rFonts w:ascii="宋体" w:hAnsi="宋体" w:eastAsia="宋体" w:cs="宋体"/>
      <w:color w:val="000000"/>
      <w:sz w:val="26"/>
      <w:szCs w:val="26"/>
      <w:lang w:val="zh-TW" w:eastAsia="zh-TW" w:bidi="zh-TW"/>
    </w:rPr>
  </w:style>
  <w:style w:type="paragraph" w:customStyle="1" w:styleId="61">
    <w:name w:val="首行缩进"/>
    <w:basedOn w:val="1"/>
    <w:qFormat/>
    <w:uiPriority w:val="99"/>
    <w:pPr>
      <w:spacing w:line="360" w:lineRule="auto"/>
      <w:ind w:firstLine="480" w:firstLineChars="200"/>
    </w:pPr>
    <w:rPr>
      <w:rFonts w:ascii="Calibri" w:hAnsi="Calibri"/>
      <w:sz w:val="24"/>
      <w:lang w:val="zh-CN"/>
    </w:rPr>
  </w:style>
  <w:style w:type="paragraph" w:customStyle="1" w:styleId="62">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35</Pages>
  <Words>15470</Words>
  <Characters>15973</Characters>
  <Lines>180</Lines>
  <Paragraphs>50</Paragraphs>
  <TotalTime>5</TotalTime>
  <ScaleCrop>false</ScaleCrop>
  <LinksUpToDate>false</LinksUpToDate>
  <CharactersWithSpaces>17258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高羽</cp:lastModifiedBy>
  <cp:lastPrinted>2022-06-23T01:57:00Z</cp:lastPrinted>
  <dcterms:modified xsi:type="dcterms:W3CDTF">2024-10-17T03:13:41Z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BB925D50D9D549D78E86495213C96869_13</vt:lpwstr>
  </property>
</Properties>
</file>