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A464912">
      <w:pPr>
        <w:pStyle w:val="2"/>
        <w:pageBreakBefore/>
        <w:spacing w:before="156" w:beforeLines="50" w:after="156" w:afterLines="50" w:line="360" w:lineRule="auto"/>
        <w:jc w:val="center"/>
        <w:rPr>
          <w:color w:val="000000"/>
          <w:highlight w:val="none"/>
        </w:rPr>
      </w:pPr>
      <w:bookmarkStart w:id="0" w:name="_Toc7065"/>
      <w:bookmarkStart w:id="1" w:name="_Toc30390"/>
      <w:bookmarkStart w:id="2" w:name="_Toc156404516"/>
      <w:r>
        <w:rPr>
          <w:rFonts w:hint="eastAsia"/>
          <w:color w:val="000000"/>
          <w:highlight w:val="none"/>
        </w:rPr>
        <w:t xml:space="preserve">第三章  </w:t>
      </w:r>
      <w:bookmarkEnd w:id="0"/>
      <w:r>
        <w:rPr>
          <w:rFonts w:hint="eastAsia"/>
          <w:color w:val="000000"/>
          <w:highlight w:val="none"/>
        </w:rPr>
        <w:t>招标人要求</w:t>
      </w:r>
      <w:bookmarkEnd w:id="1"/>
    </w:p>
    <w:p w14:paraId="723CBA5E">
      <w:pPr>
        <w:spacing w:line="360" w:lineRule="auto"/>
        <w:outlineLvl w:val="1"/>
        <w:rPr>
          <w:b/>
          <w:szCs w:val="21"/>
          <w:highlight w:val="none"/>
        </w:rPr>
      </w:pPr>
      <w:bookmarkStart w:id="3" w:name="_Toc482188637"/>
      <w:r>
        <w:rPr>
          <w:rFonts w:hint="eastAsia"/>
          <w:b/>
          <w:szCs w:val="21"/>
          <w:highlight w:val="none"/>
        </w:rPr>
        <w:t>一、</w:t>
      </w:r>
      <w:bookmarkEnd w:id="3"/>
      <w:r>
        <w:rPr>
          <w:rFonts w:hint="eastAsia"/>
          <w:b/>
          <w:szCs w:val="21"/>
          <w:highlight w:val="none"/>
        </w:rPr>
        <w:t>项目概况</w:t>
      </w:r>
    </w:p>
    <w:p w14:paraId="706D1FEF">
      <w:pPr>
        <w:spacing w:line="360" w:lineRule="auto"/>
        <w:ind w:firstLine="420" w:firstLineChars="200"/>
        <w:rPr>
          <w:rFonts w:ascii="宋体" w:hAnsi="宋体" w:cs="宋体"/>
          <w:i/>
          <w:iCs/>
          <w:color w:val="FF0000"/>
          <w:sz w:val="24"/>
          <w:highlight w:val="none"/>
        </w:rPr>
      </w:pPr>
      <w:r>
        <w:rPr>
          <w:rFonts w:hint="eastAsia"/>
          <w:szCs w:val="21"/>
          <w:highlight w:val="none"/>
          <w:lang w:val="en-US" w:eastAsia="zh-CN"/>
        </w:rPr>
        <w:t>为保障“我在安徽过大年—中外友人贺新春”活动特装展台搭建项目需求，现需要在骆岗机场航站楼内外搭建特装展台，项目内容包括入口主形象、剪纸互动区、灯笼互动区、非遗展位、包柱、室外企业展位等造型。项目涉及物资应该全部运到滨湖会展中心（除广告画面），并确保可以二次搭建安装。</w:t>
      </w:r>
    </w:p>
    <w:p w14:paraId="4856CDB8">
      <w:pPr>
        <w:numPr>
          <w:ilvl w:val="0"/>
          <w:numId w:val="1"/>
        </w:numPr>
        <w:spacing w:line="360" w:lineRule="auto"/>
        <w:outlineLvl w:val="1"/>
        <w:rPr>
          <w:rFonts w:hint="eastAsia"/>
          <w:b/>
          <w:szCs w:val="21"/>
          <w:highlight w:val="none"/>
          <w:lang w:eastAsia="zh-CN"/>
        </w:rPr>
      </w:pPr>
      <w:r>
        <w:rPr>
          <w:rFonts w:hint="eastAsia"/>
          <w:b/>
          <w:szCs w:val="21"/>
          <w:highlight w:val="none"/>
          <w:lang w:eastAsia="zh-CN"/>
        </w:rPr>
        <w:t>需求清单</w:t>
      </w:r>
    </w:p>
    <w:tbl>
      <w:tblPr>
        <w:tblStyle w:val="3"/>
        <w:tblpPr w:leftFromText="180" w:rightFromText="180" w:vertAnchor="text" w:horzAnchor="page" w:tblpX="1317" w:tblpY="507"/>
        <w:tblOverlap w:val="never"/>
        <w:tblW w:w="9507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68"/>
        <w:gridCol w:w="683"/>
        <w:gridCol w:w="834"/>
        <w:gridCol w:w="1016"/>
        <w:gridCol w:w="784"/>
        <w:gridCol w:w="4250"/>
        <w:gridCol w:w="1372"/>
      </w:tblGrid>
      <w:tr w14:paraId="6736A46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0EB3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序号</w:t>
            </w:r>
          </w:p>
        </w:tc>
        <w:tc>
          <w:tcPr>
            <w:tcW w:w="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118D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项目</w:t>
            </w:r>
          </w:p>
        </w:tc>
        <w:tc>
          <w:tcPr>
            <w:tcW w:w="8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3B0F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尺寸</w:t>
            </w:r>
          </w:p>
        </w:tc>
        <w:tc>
          <w:tcPr>
            <w:tcW w:w="1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007D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材质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417B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数量</w:t>
            </w:r>
          </w:p>
        </w:tc>
        <w:tc>
          <w:tcPr>
            <w:tcW w:w="4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BF12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示意图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0C8B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备注</w:t>
            </w:r>
          </w:p>
        </w:tc>
      </w:tr>
      <w:tr w14:paraId="19BD4D2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00" w:hRule="atLeast"/>
        </w:trPr>
        <w:tc>
          <w:tcPr>
            <w:tcW w:w="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A41E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4FB3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入口主形象</w:t>
            </w:r>
          </w:p>
        </w:tc>
        <w:tc>
          <w:tcPr>
            <w:tcW w:w="8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73CC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长6m×宽2m×高3.5m</w:t>
            </w:r>
          </w:p>
        </w:tc>
        <w:tc>
          <w:tcPr>
            <w:tcW w:w="1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B666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地台+钢木结钩+迎客松造型+装饰材料+广告制作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18B0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1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项</w:t>
            </w:r>
          </w:p>
        </w:tc>
        <w:tc>
          <w:tcPr>
            <w:tcW w:w="4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B6A3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drawing>
                <wp:inline distT="0" distB="0" distL="114300" distR="114300">
                  <wp:extent cx="2247900" cy="1266825"/>
                  <wp:effectExtent l="0" t="0" r="0" b="9525"/>
                  <wp:docPr id="13" name="图片 1" descr="IMG_25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" name="图片 1" descr="IMG_256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47900" cy="12668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F6916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</w:tr>
      <w:tr w14:paraId="47DC266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00" w:hRule="atLeast"/>
        </w:trPr>
        <w:tc>
          <w:tcPr>
            <w:tcW w:w="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6E59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2</w:t>
            </w:r>
          </w:p>
        </w:tc>
        <w:tc>
          <w:tcPr>
            <w:tcW w:w="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1631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剪纸互动区</w:t>
            </w:r>
          </w:p>
        </w:tc>
        <w:tc>
          <w:tcPr>
            <w:tcW w:w="8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8C9D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长5m×宽2m×高3m</w:t>
            </w:r>
          </w:p>
        </w:tc>
        <w:tc>
          <w:tcPr>
            <w:tcW w:w="1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C54D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地台+钢木结钩+广告制作+纱幔+仿真绿植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3F28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1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项</w:t>
            </w:r>
          </w:p>
        </w:tc>
        <w:tc>
          <w:tcPr>
            <w:tcW w:w="4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BEBA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drawing>
                <wp:inline distT="0" distB="0" distL="114300" distR="114300">
                  <wp:extent cx="1895475" cy="1266825"/>
                  <wp:effectExtent l="0" t="0" r="9525" b="9525"/>
                  <wp:docPr id="16" name="图片 2" descr="IMG_25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" name="图片 2" descr="IMG_256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95475" cy="12668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B48A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可使用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场馆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会议室大签到桌，桌布可用蓝色</w:t>
            </w:r>
          </w:p>
        </w:tc>
      </w:tr>
      <w:tr w14:paraId="26136B1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00" w:hRule="atLeast"/>
        </w:trPr>
        <w:tc>
          <w:tcPr>
            <w:tcW w:w="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6985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3</w:t>
            </w:r>
          </w:p>
        </w:tc>
        <w:tc>
          <w:tcPr>
            <w:tcW w:w="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9B8E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灯笼互动区</w:t>
            </w:r>
          </w:p>
        </w:tc>
        <w:tc>
          <w:tcPr>
            <w:tcW w:w="8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EF4E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长5m×宽2m×高3m</w:t>
            </w:r>
          </w:p>
        </w:tc>
        <w:tc>
          <w:tcPr>
            <w:tcW w:w="1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B564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竹子+木结钩+装饰材料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+广告制作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EB3F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1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项</w:t>
            </w:r>
          </w:p>
        </w:tc>
        <w:tc>
          <w:tcPr>
            <w:tcW w:w="4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CAA7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drawing>
                <wp:inline distT="0" distB="0" distL="114300" distR="114300">
                  <wp:extent cx="2190750" cy="1266825"/>
                  <wp:effectExtent l="0" t="0" r="0" b="9525"/>
                  <wp:docPr id="22" name="图片 3" descr="IMG_25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2" name="图片 3" descr="IMG_256"/>
                          <pic:cNvPicPr>
                            <a:picLocks noChangeAspect="1"/>
                          </pic:cNvPicPr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90750" cy="12668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bookmarkStart w:id="6" w:name="_GoBack"/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bdr w:val="single" w:color="000000" w:sz="4" w:space="0"/>
                <w:lang w:val="en-US" w:eastAsia="zh-CN" w:bidi="ar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8890" cy="10160"/>
                  <wp:effectExtent l="0" t="0" r="0" b="0"/>
                  <wp:wrapNone/>
                  <wp:docPr id="23" name="图片_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3" name="图片_3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0" cy="101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bookmarkEnd w:id="6"/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6E37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可使用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场馆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会议室大签到桌，桌布可用蓝色</w:t>
            </w:r>
          </w:p>
        </w:tc>
      </w:tr>
      <w:tr w14:paraId="2713D71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00" w:hRule="atLeast"/>
        </w:trPr>
        <w:tc>
          <w:tcPr>
            <w:tcW w:w="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2A2F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4</w:t>
            </w:r>
          </w:p>
        </w:tc>
        <w:tc>
          <w:tcPr>
            <w:tcW w:w="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C53B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非遗展台</w:t>
            </w:r>
          </w:p>
        </w:tc>
        <w:tc>
          <w:tcPr>
            <w:tcW w:w="8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CAA9A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1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EA95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金属框架+米白色篷布+柜子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0432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9组</w:t>
            </w:r>
          </w:p>
        </w:tc>
        <w:tc>
          <w:tcPr>
            <w:tcW w:w="4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71BD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drawing>
                <wp:inline distT="0" distB="0" distL="114300" distR="114300">
                  <wp:extent cx="1447800" cy="1266825"/>
                  <wp:effectExtent l="0" t="0" r="0" b="9525"/>
                  <wp:docPr id="25" name="图片 4" descr="IMG_25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5" name="图片 4" descr="IMG_256"/>
                          <pic:cNvPicPr>
                            <a:picLocks noChangeAspect="1"/>
                          </pic:cNvPicPr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47800" cy="12668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17326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</w:tr>
    </w:tbl>
    <w:p w14:paraId="3950B38A">
      <w:pPr>
        <w:widowControl w:val="0"/>
        <w:numPr>
          <w:ilvl w:val="0"/>
          <w:numId w:val="0"/>
        </w:numPr>
        <w:spacing w:line="360" w:lineRule="auto"/>
        <w:jc w:val="both"/>
        <w:outlineLvl w:val="1"/>
        <w:rPr>
          <w:rFonts w:hint="eastAsia"/>
          <w:b/>
          <w:szCs w:val="21"/>
          <w:highlight w:val="none"/>
          <w:lang w:eastAsia="zh-CN"/>
        </w:rPr>
      </w:pPr>
    </w:p>
    <w:p w14:paraId="6519A6AE">
      <w:pPr>
        <w:spacing w:line="360" w:lineRule="auto"/>
        <w:outlineLvl w:val="1"/>
        <w:rPr>
          <w:b/>
          <w:szCs w:val="21"/>
          <w:highlight w:val="none"/>
        </w:rPr>
      </w:pPr>
      <w:bookmarkStart w:id="4" w:name="_Toc482188639"/>
      <w:r>
        <w:rPr>
          <w:rFonts w:hint="eastAsia"/>
          <w:b/>
          <w:szCs w:val="21"/>
          <w:highlight w:val="none"/>
        </w:rPr>
        <w:t>三、</w:t>
      </w:r>
      <w:bookmarkEnd w:id="4"/>
      <w:r>
        <w:rPr>
          <w:rFonts w:hint="eastAsia"/>
          <w:b/>
          <w:szCs w:val="21"/>
          <w:highlight w:val="none"/>
          <w:lang w:eastAsia="zh-CN"/>
        </w:rPr>
        <w:t>项目</w:t>
      </w:r>
      <w:r>
        <w:rPr>
          <w:rFonts w:hint="eastAsia"/>
          <w:b/>
          <w:szCs w:val="21"/>
          <w:highlight w:val="none"/>
        </w:rPr>
        <w:t>要求</w:t>
      </w:r>
    </w:p>
    <w:p w14:paraId="3A747E47">
      <w:pPr>
        <w:spacing w:line="360" w:lineRule="auto"/>
        <w:ind w:firstLine="420" w:firstLineChars="200"/>
        <w:rPr>
          <w:rFonts w:hint="eastAsia"/>
          <w:szCs w:val="21"/>
          <w:highlight w:val="none"/>
          <w:lang w:val="en-US" w:eastAsia="zh-CN"/>
        </w:rPr>
      </w:pPr>
      <w:bookmarkStart w:id="5" w:name="_Toc482188644"/>
      <w:r>
        <w:rPr>
          <w:rFonts w:hint="eastAsia"/>
          <w:szCs w:val="21"/>
          <w:highlight w:val="none"/>
          <w:lang w:val="en-US" w:eastAsia="zh-CN"/>
        </w:rPr>
        <w:t>1、所有项目要在2025年1月9日22：00前全部保质保量的完成搭建工作，并交付使用。</w:t>
      </w:r>
    </w:p>
    <w:p w14:paraId="2C0B84C3">
      <w:pPr>
        <w:spacing w:line="360" w:lineRule="auto"/>
        <w:ind w:firstLine="420" w:firstLineChars="200"/>
        <w:rPr>
          <w:rFonts w:hint="eastAsia"/>
          <w:szCs w:val="21"/>
          <w:highlight w:val="none"/>
          <w:lang w:val="en-US" w:eastAsia="zh-CN"/>
        </w:rPr>
      </w:pPr>
      <w:r>
        <w:rPr>
          <w:rFonts w:hint="eastAsia"/>
          <w:szCs w:val="21"/>
          <w:highlight w:val="none"/>
          <w:lang w:val="en-US" w:eastAsia="zh-CN"/>
        </w:rPr>
        <w:t>2、项目结束后，中标人负责拆除所有搭建的特装展台，并将现场清理干净。</w:t>
      </w:r>
    </w:p>
    <w:p w14:paraId="001C93F9">
      <w:pPr>
        <w:spacing w:line="360" w:lineRule="auto"/>
        <w:ind w:firstLine="420" w:firstLineChars="200"/>
        <w:outlineLvl w:val="2"/>
        <w:rPr>
          <w:rFonts w:hint="eastAsia"/>
          <w:szCs w:val="21"/>
          <w:highlight w:val="none"/>
          <w:lang w:val="en-US" w:eastAsia="zh-CN"/>
        </w:rPr>
      </w:pPr>
      <w:r>
        <w:rPr>
          <w:rFonts w:hint="eastAsia"/>
          <w:szCs w:val="21"/>
          <w:highlight w:val="none"/>
          <w:lang w:val="en-US" w:eastAsia="zh-CN"/>
        </w:rPr>
        <w:t>3、中标人负责整个搭建过程中的人员安全及场地安全问题。</w:t>
      </w:r>
    </w:p>
    <w:p w14:paraId="47DF3318">
      <w:pPr>
        <w:spacing w:line="360" w:lineRule="auto"/>
        <w:ind w:firstLine="420" w:firstLineChars="200"/>
        <w:rPr>
          <w:rFonts w:hint="default"/>
          <w:szCs w:val="21"/>
          <w:highlight w:val="none"/>
          <w:lang w:val="en-US" w:eastAsia="zh-CN"/>
        </w:rPr>
      </w:pPr>
      <w:r>
        <w:rPr>
          <w:rFonts w:hint="eastAsia"/>
          <w:szCs w:val="21"/>
          <w:highlight w:val="none"/>
          <w:lang w:val="en-US" w:eastAsia="zh-CN"/>
        </w:rPr>
        <w:t>4、活动结束后将展台完整运到滨湖会展中心，并确保可以二次安装使用。</w:t>
      </w:r>
    </w:p>
    <w:p w14:paraId="2655FB95">
      <w:pPr>
        <w:spacing w:line="360" w:lineRule="auto"/>
        <w:outlineLvl w:val="9"/>
        <w:rPr>
          <w:rFonts w:hint="eastAsia"/>
          <w:b/>
          <w:szCs w:val="21"/>
          <w:highlight w:val="none"/>
        </w:rPr>
      </w:pPr>
    </w:p>
    <w:p w14:paraId="3DBD95F2">
      <w:pPr>
        <w:spacing w:line="360" w:lineRule="auto"/>
        <w:outlineLvl w:val="1"/>
        <w:rPr>
          <w:b/>
          <w:szCs w:val="21"/>
          <w:highlight w:val="none"/>
        </w:rPr>
      </w:pPr>
      <w:r>
        <w:rPr>
          <w:rFonts w:hint="eastAsia"/>
          <w:b/>
          <w:szCs w:val="21"/>
          <w:highlight w:val="none"/>
        </w:rPr>
        <w:t>四、</w:t>
      </w:r>
      <w:bookmarkEnd w:id="5"/>
      <w:r>
        <w:rPr>
          <w:rFonts w:hint="eastAsia"/>
          <w:b/>
          <w:szCs w:val="21"/>
          <w:highlight w:val="none"/>
        </w:rPr>
        <w:t>报价要求</w:t>
      </w:r>
    </w:p>
    <w:p w14:paraId="670309DA">
      <w:pPr>
        <w:spacing w:line="440" w:lineRule="exact"/>
        <w:ind w:firstLine="420" w:firstLineChars="200"/>
        <w:rPr>
          <w:rFonts w:hint="default" w:eastAsia="宋体"/>
          <w:szCs w:val="21"/>
          <w:highlight w:val="none"/>
          <w:lang w:val="en-US" w:eastAsia="zh-CN"/>
        </w:rPr>
      </w:pPr>
      <w:r>
        <w:rPr>
          <w:rFonts w:hint="eastAsia"/>
          <w:szCs w:val="21"/>
          <w:highlight w:val="none"/>
        </w:rPr>
        <w:t>本项目采用总价</w:t>
      </w:r>
      <w:r>
        <w:rPr>
          <w:rFonts w:hint="eastAsia"/>
          <w:szCs w:val="21"/>
          <w:highlight w:val="none"/>
          <w:lang w:eastAsia="zh-CN"/>
        </w:rPr>
        <w:t>和单价</w:t>
      </w:r>
      <w:r>
        <w:rPr>
          <w:rFonts w:hint="eastAsia"/>
          <w:szCs w:val="21"/>
          <w:highlight w:val="none"/>
        </w:rPr>
        <w:t>报价</w:t>
      </w:r>
      <w:r>
        <w:rPr>
          <w:rFonts w:hint="eastAsia"/>
          <w:szCs w:val="21"/>
          <w:highlight w:val="none"/>
          <w:lang w:eastAsia="zh-CN"/>
        </w:rPr>
        <w:t>形式</w:t>
      </w:r>
      <w:r>
        <w:rPr>
          <w:rFonts w:hint="eastAsia"/>
          <w:szCs w:val="21"/>
          <w:highlight w:val="none"/>
        </w:rPr>
        <w:t>，</w:t>
      </w:r>
      <w:r>
        <w:rPr>
          <w:rFonts w:hint="eastAsia"/>
          <w:szCs w:val="21"/>
          <w:highlight w:val="none"/>
          <w:lang w:eastAsia="zh-CN"/>
        </w:rPr>
        <w:t>需求清单中数量为预估数量，</w:t>
      </w:r>
      <w:r>
        <w:rPr>
          <w:rFonts w:hint="eastAsia"/>
          <w:szCs w:val="21"/>
          <w:highlight w:val="none"/>
          <w:lang w:val="en-US" w:eastAsia="zh-CN"/>
        </w:rPr>
        <w:t>现场以实际落地物料为准，</w:t>
      </w:r>
      <w:r>
        <w:rPr>
          <w:rFonts w:hint="eastAsia"/>
          <w:szCs w:val="21"/>
          <w:highlight w:val="none"/>
          <w:lang w:eastAsia="zh-CN"/>
        </w:rPr>
        <w:t>最终结算以审计金额为准。</w:t>
      </w:r>
      <w:r>
        <w:rPr>
          <w:rFonts w:hint="eastAsia"/>
          <w:szCs w:val="21"/>
          <w:highlight w:val="none"/>
        </w:rPr>
        <w:t>除非合同另有规定，该总价包含但不限于</w:t>
      </w:r>
      <w:r>
        <w:rPr>
          <w:rFonts w:hint="eastAsia"/>
          <w:szCs w:val="21"/>
          <w:highlight w:val="none"/>
          <w:lang w:eastAsia="zh-CN"/>
        </w:rPr>
        <w:t>搭建费</w:t>
      </w:r>
      <w:r>
        <w:rPr>
          <w:rFonts w:hint="eastAsia"/>
          <w:szCs w:val="21"/>
          <w:highlight w:val="none"/>
        </w:rPr>
        <w:t>、</w:t>
      </w:r>
      <w:r>
        <w:rPr>
          <w:rFonts w:hint="eastAsia"/>
          <w:szCs w:val="21"/>
          <w:highlight w:val="none"/>
          <w:lang w:eastAsia="zh-CN"/>
        </w:rPr>
        <w:t>物品租赁</w:t>
      </w:r>
      <w:r>
        <w:rPr>
          <w:rFonts w:hint="eastAsia"/>
          <w:szCs w:val="21"/>
          <w:highlight w:val="none"/>
        </w:rPr>
        <w:t>费、现场调研勘察费、</w:t>
      </w:r>
      <w:r>
        <w:rPr>
          <w:rFonts w:hint="eastAsia"/>
          <w:szCs w:val="21"/>
          <w:highlight w:val="none"/>
          <w:lang w:eastAsia="zh-CN"/>
        </w:rPr>
        <w:t>运输</w:t>
      </w:r>
      <w:r>
        <w:rPr>
          <w:rFonts w:hint="eastAsia"/>
          <w:szCs w:val="21"/>
          <w:highlight w:val="none"/>
        </w:rPr>
        <w:t>费、人工费、</w:t>
      </w:r>
      <w:r>
        <w:rPr>
          <w:rFonts w:hint="eastAsia"/>
          <w:szCs w:val="21"/>
          <w:highlight w:val="none"/>
          <w:lang w:eastAsia="zh-CN"/>
        </w:rPr>
        <w:t>加班费、</w:t>
      </w:r>
      <w:r>
        <w:rPr>
          <w:rFonts w:hint="eastAsia"/>
          <w:szCs w:val="21"/>
          <w:highlight w:val="none"/>
        </w:rPr>
        <w:t>差旅费、利润、税金等全部费用。</w:t>
      </w:r>
      <w:r>
        <w:rPr>
          <w:rFonts w:hint="eastAsia"/>
          <w:szCs w:val="21"/>
          <w:highlight w:val="none"/>
          <w:lang w:eastAsia="zh-CN"/>
        </w:rPr>
        <w:t>投标总价不得高于项目概算</w:t>
      </w:r>
      <w:r>
        <w:rPr>
          <w:rFonts w:hint="eastAsia"/>
          <w:szCs w:val="21"/>
          <w:highlight w:val="none"/>
          <w:lang w:val="en-US" w:eastAsia="zh-CN"/>
        </w:rPr>
        <w:t>19.8万元。</w:t>
      </w:r>
    </w:p>
    <w:p w14:paraId="77FF6648">
      <w:pPr>
        <w:spacing w:line="360" w:lineRule="auto"/>
        <w:outlineLvl w:val="1"/>
        <w:rPr>
          <w:b/>
          <w:szCs w:val="21"/>
          <w:highlight w:val="none"/>
        </w:rPr>
      </w:pPr>
      <w:r>
        <w:rPr>
          <w:rFonts w:hint="eastAsia"/>
          <w:b/>
          <w:szCs w:val="21"/>
          <w:highlight w:val="none"/>
          <w:lang w:eastAsia="zh-CN"/>
        </w:rPr>
        <w:t>五</w:t>
      </w:r>
      <w:r>
        <w:rPr>
          <w:rFonts w:hint="eastAsia"/>
          <w:b/>
          <w:szCs w:val="21"/>
          <w:highlight w:val="none"/>
        </w:rPr>
        <w:t>、其他要求</w:t>
      </w:r>
    </w:p>
    <w:p w14:paraId="57C81A05">
      <w:pPr>
        <w:spacing w:line="360" w:lineRule="auto"/>
        <w:ind w:firstLine="420" w:firstLineChars="200"/>
        <w:rPr>
          <w:rFonts w:ascii="Times New Roman" w:hAnsi="Times New Roman"/>
          <w:color w:val="FF0000"/>
          <w:highlight w:val="none"/>
          <w:u w:val="none"/>
        </w:rPr>
      </w:pPr>
      <w:r>
        <w:rPr>
          <w:rFonts w:hint="eastAsia" w:ascii="宋体" w:hAnsi="宋体" w:eastAsia="宋体" w:cs="宋体"/>
          <w:sz w:val="21"/>
          <w:szCs w:val="21"/>
          <w:highlight w:val="none"/>
          <w:u w:val="none"/>
        </w:rPr>
        <w:t>本项目可能存在因不确定因素导致项目终止或合同无法履约的风险，若因不确定因素导致项目终止，该风险由投标人自行承担;若因不确定因素导致合同无法履约的，本项目履约保证金由招标人全额退还。以上风险请投标人须充分考虑</w:t>
      </w:r>
      <w:r>
        <w:rPr>
          <w:rFonts w:hint="eastAsia" w:ascii="宋体" w:hAnsi="宋体" w:eastAsia="宋体" w:cs="宋体"/>
          <w:sz w:val="21"/>
          <w:szCs w:val="21"/>
          <w:highlight w:val="none"/>
          <w:u w:val="none"/>
          <w:lang w:eastAsia="zh-CN"/>
        </w:rPr>
        <w:t>，</w:t>
      </w:r>
      <w:r>
        <w:rPr>
          <w:rFonts w:hint="eastAsia" w:ascii="宋体" w:hAnsi="宋体" w:eastAsia="宋体" w:cs="宋体"/>
          <w:sz w:val="21"/>
          <w:szCs w:val="21"/>
          <w:highlight w:val="none"/>
          <w:u w:val="none"/>
          <w:lang w:val="en-US" w:eastAsia="zh-CN"/>
        </w:rPr>
        <w:t>招标人不承担任何责任</w:t>
      </w:r>
      <w:r>
        <w:rPr>
          <w:rFonts w:hint="eastAsia" w:ascii="宋体" w:hAnsi="宋体" w:eastAsia="宋体" w:cs="宋体"/>
          <w:sz w:val="21"/>
          <w:szCs w:val="21"/>
          <w:highlight w:val="none"/>
          <w:u w:val="none"/>
        </w:rPr>
        <w:t>。</w:t>
      </w:r>
    </w:p>
    <w:p w14:paraId="011359F6">
      <w:pPr>
        <w:spacing w:line="440" w:lineRule="exact"/>
        <w:ind w:firstLine="420" w:firstLineChars="200"/>
        <w:rPr>
          <w:szCs w:val="21"/>
          <w:highlight w:val="none"/>
        </w:rPr>
      </w:pPr>
    </w:p>
    <w:bookmarkEnd w:id="2"/>
    <w:p w14:paraId="4FFA3066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60BB9DC"/>
    <w:multiLevelType w:val="singleLevel"/>
    <w:tmpl w:val="D60BB9DC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BjMGZlMDU5OTM1ZTY4OTJjYTgzZWZjYThhZTA1YjAifQ=="/>
  </w:docVars>
  <w:rsids>
    <w:rsidRoot w:val="361B1664"/>
    <w:rsid w:val="361B16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9"/>
    <w:pPr>
      <w:keepNext/>
      <w:keepLines/>
      <w:spacing w:before="340" w:after="330" w:line="576" w:lineRule="auto"/>
      <w:outlineLvl w:val="0"/>
    </w:pPr>
    <w:rPr>
      <w:b/>
      <w:bCs/>
      <w:kern w:val="44"/>
      <w:sz w:val="30"/>
      <w:szCs w:val="44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2025-01-02T08:41:00Z</dcterms:created>
  <dc:creator>王越</dc:creator>
  <cp:lastModifiedBy>王越</cp:lastModifiedBy>
  <dcterms:modified xsi:type="dcterms:W3CDTF">2025-01-02T08:41:37Z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74CF8ACF224641E1B2FCF0890467B8D6_11</vt:lpwstr>
  </property>
</Properties>
</file>