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BA05D6">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
          <w:bCs/>
          <w:sz w:val="52"/>
          <w:szCs w:val="52"/>
        </w:rPr>
      </w:pPr>
      <w:bookmarkStart w:id="25" w:name="_GoBack"/>
      <w:bookmarkEnd w:id="25"/>
    </w:p>
    <w:p w14:paraId="7781F41D">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
          <w:bCs/>
          <w:sz w:val="52"/>
          <w:szCs w:val="52"/>
        </w:rPr>
      </w:pPr>
    </w:p>
    <w:p w14:paraId="475795B4">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
          <w:bCs/>
          <w:sz w:val="52"/>
          <w:szCs w:val="52"/>
        </w:rPr>
      </w:pPr>
      <w:bookmarkStart w:id="0" w:name="_Hlk9544796"/>
    </w:p>
    <w:p w14:paraId="5E6166E1">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
          <w:bCs/>
          <w:sz w:val="52"/>
          <w:szCs w:val="52"/>
        </w:rPr>
      </w:pPr>
      <w:r>
        <w:rPr>
          <w:rFonts w:ascii="Times New Roman" w:hAnsi="Times New Roman" w:cs="Times New Roman" w:eastAsiaTheme="minorEastAsia"/>
          <w:b/>
          <w:bCs/>
          <w:sz w:val="52"/>
          <w:szCs w:val="52"/>
        </w:rPr>
        <w:t>询价文件</w:t>
      </w:r>
    </w:p>
    <w:bookmarkEnd w:id="0"/>
    <w:p w14:paraId="3C0AFCEB">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Cs/>
          <w:sz w:val="44"/>
          <w:szCs w:val="44"/>
        </w:rPr>
      </w:pPr>
    </w:p>
    <w:p w14:paraId="0CB130B4">
      <w:pPr>
        <w:rPr>
          <w:rFonts w:ascii="Times New Roman" w:hAnsi="Times New Roman" w:cs="Times New Roman" w:eastAsiaTheme="minorEastAsia"/>
          <w:bCs/>
          <w:sz w:val="44"/>
          <w:szCs w:val="44"/>
        </w:rPr>
      </w:pPr>
    </w:p>
    <w:p w14:paraId="3645B32D">
      <w:pPr>
        <w:rPr>
          <w:rFonts w:ascii="Times New Roman" w:hAnsi="Times New Roman" w:cs="Times New Roman"/>
        </w:rPr>
      </w:pPr>
    </w:p>
    <w:p w14:paraId="6DBD8187">
      <w:pPr>
        <w:tabs>
          <w:tab w:val="left" w:pos="315"/>
          <w:tab w:val="left" w:pos="8820"/>
        </w:tabs>
        <w:spacing w:before="240" w:beforeLines="100" w:after="120" w:afterLines="50" w:line="360" w:lineRule="auto"/>
        <w:ind w:right="267" w:rightChars="127"/>
        <w:jc w:val="center"/>
        <w:rPr>
          <w:rFonts w:ascii="Times New Roman" w:hAnsi="Times New Roman" w:cs="Times New Roman" w:eastAsiaTheme="minorEastAsia"/>
          <w:bCs/>
          <w:sz w:val="44"/>
          <w:szCs w:val="44"/>
        </w:rPr>
      </w:pPr>
      <w:r>
        <w:rPr>
          <w:rFonts w:ascii="Times New Roman" w:hAnsi="Times New Roman" w:cs="Times New Roman"/>
          <w:color w:val="000000"/>
        </w:rPr>
        <w:drawing>
          <wp:inline distT="0" distB="0" distL="114300" distR="114300">
            <wp:extent cx="1565910" cy="1511935"/>
            <wp:effectExtent l="0" t="0" r="15240" b="1206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8"/>
                    <a:stretch>
                      <a:fillRect/>
                    </a:stretch>
                  </pic:blipFill>
                  <pic:spPr>
                    <a:xfrm>
                      <a:off x="0" y="0"/>
                      <a:ext cx="1565910" cy="1511935"/>
                    </a:xfrm>
                    <a:prstGeom prst="rect">
                      <a:avLst/>
                    </a:prstGeom>
                    <a:noFill/>
                    <a:ln>
                      <a:noFill/>
                    </a:ln>
                  </pic:spPr>
                </pic:pic>
              </a:graphicData>
            </a:graphic>
          </wp:inline>
        </w:drawing>
      </w:r>
    </w:p>
    <w:p w14:paraId="7CADA8E0">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Cs/>
          <w:sz w:val="44"/>
          <w:szCs w:val="44"/>
        </w:rPr>
      </w:pPr>
    </w:p>
    <w:p w14:paraId="7BA4A46E">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
          <w:bCs/>
          <w:sz w:val="44"/>
          <w:szCs w:val="44"/>
        </w:rPr>
      </w:pPr>
    </w:p>
    <w:p w14:paraId="043877CC">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
          <w:bCs/>
          <w:sz w:val="44"/>
          <w:szCs w:val="44"/>
        </w:rPr>
      </w:pPr>
    </w:p>
    <w:p w14:paraId="2B8C89C2">
      <w:pPr>
        <w:tabs>
          <w:tab w:val="left" w:pos="2410"/>
        </w:tabs>
        <w:autoSpaceDE w:val="0"/>
        <w:autoSpaceDN w:val="0"/>
        <w:adjustRightInd w:val="0"/>
        <w:snapToGrid w:val="0"/>
        <w:spacing w:line="360" w:lineRule="auto"/>
        <w:rPr>
          <w:rFonts w:hint="eastAsia" w:ascii="宋体" w:hAnsi="DotumChe" w:cs="宋体"/>
          <w:b/>
          <w:color w:val="000000"/>
          <w:spacing w:val="20"/>
          <w:kern w:val="0"/>
          <w:sz w:val="32"/>
          <w:szCs w:val="32"/>
          <w:u w:val="single"/>
          <w:lang w:val="en-US" w:eastAsia="zh-CN"/>
        </w:rPr>
      </w:pPr>
      <w:r>
        <w:rPr>
          <w:rFonts w:ascii="Times New Roman" w:hAnsi="Times New Roman" w:cs="Times New Roman" w:eastAsiaTheme="minorEastAsia"/>
          <w:b/>
          <w:spacing w:val="20"/>
          <w:kern w:val="0"/>
          <w:sz w:val="32"/>
          <w:szCs w:val="32"/>
        </w:rPr>
        <w:t>项目名称：</w:t>
      </w:r>
      <w:r>
        <w:rPr>
          <w:rFonts w:hint="eastAsia" w:ascii="Times New Roman" w:hAnsi="Times New Roman" w:cs="Times New Roman" w:eastAsiaTheme="minorEastAsia"/>
          <w:b/>
          <w:spacing w:val="20"/>
          <w:kern w:val="0"/>
          <w:sz w:val="32"/>
          <w:szCs w:val="32"/>
          <w:u w:val="single"/>
        </w:rPr>
        <w:t>文旅集团2024年下半年集中处置资产评估</w:t>
      </w:r>
    </w:p>
    <w:p w14:paraId="2E8E546E">
      <w:pPr>
        <w:tabs>
          <w:tab w:val="left" w:pos="2410"/>
        </w:tabs>
        <w:autoSpaceDE w:val="0"/>
        <w:autoSpaceDN w:val="0"/>
        <w:adjustRightInd w:val="0"/>
        <w:snapToGrid w:val="0"/>
        <w:spacing w:line="360" w:lineRule="auto"/>
        <w:rPr>
          <w:rFonts w:ascii="Times New Roman" w:hAnsi="Times New Roman" w:cs="Times New Roman" w:eastAsiaTheme="minorEastAsia"/>
          <w:b/>
          <w:spacing w:val="20"/>
          <w:kern w:val="0"/>
          <w:sz w:val="32"/>
          <w:szCs w:val="32"/>
        </w:rPr>
      </w:pPr>
      <w:r>
        <w:rPr>
          <w:rFonts w:ascii="Times New Roman" w:hAnsi="Times New Roman" w:cs="Times New Roman" w:eastAsiaTheme="minorEastAsia"/>
          <w:b/>
          <w:spacing w:val="20"/>
          <w:kern w:val="0"/>
          <w:sz w:val="32"/>
          <w:szCs w:val="32"/>
        </w:rPr>
        <w:t>项目编号：</w:t>
      </w:r>
      <w:r>
        <w:rPr>
          <w:rFonts w:hint="eastAsia" w:ascii="Times New Roman" w:hAnsi="Times New Roman" w:cs="Times New Roman" w:eastAsiaTheme="minorEastAsia"/>
          <w:b/>
          <w:spacing w:val="20"/>
          <w:kern w:val="0"/>
          <w:sz w:val="32"/>
          <w:szCs w:val="32"/>
          <w:u w:val="single"/>
        </w:rPr>
        <w:t>2024WLBLZB000</w:t>
      </w:r>
      <w:r>
        <w:rPr>
          <w:rFonts w:hint="eastAsia" w:ascii="Times New Roman" w:hAnsi="Times New Roman" w:cs="Times New Roman"/>
          <w:b/>
          <w:spacing w:val="20"/>
          <w:kern w:val="0"/>
          <w:sz w:val="32"/>
          <w:szCs w:val="32"/>
          <w:u w:val="single"/>
          <w:lang w:val="en-US" w:eastAsia="zh-CN"/>
        </w:rPr>
        <w:t>50</w:t>
      </w:r>
      <w:r>
        <w:rPr>
          <w:rFonts w:hint="eastAsia" w:ascii="Times New Roman" w:hAnsi="Times New Roman" w:cs="Times New Roman" w:eastAsiaTheme="minorEastAsia"/>
          <w:b/>
          <w:spacing w:val="20"/>
          <w:kern w:val="0"/>
          <w:sz w:val="32"/>
          <w:szCs w:val="32"/>
          <w:u w:val="single"/>
        </w:rPr>
        <w:t>号</w:t>
      </w:r>
    </w:p>
    <w:p w14:paraId="59138F8C">
      <w:pPr>
        <w:tabs>
          <w:tab w:val="left" w:pos="2410"/>
        </w:tabs>
        <w:autoSpaceDE w:val="0"/>
        <w:autoSpaceDN w:val="0"/>
        <w:adjustRightInd w:val="0"/>
        <w:snapToGrid w:val="0"/>
        <w:spacing w:line="360" w:lineRule="auto"/>
        <w:rPr>
          <w:rFonts w:ascii="Times New Roman" w:hAnsi="Times New Roman" w:cs="Times New Roman" w:eastAsiaTheme="minorEastAsia"/>
          <w:b/>
          <w:spacing w:val="20"/>
          <w:kern w:val="0"/>
          <w:sz w:val="32"/>
          <w:szCs w:val="32"/>
        </w:rPr>
      </w:pPr>
      <w:r>
        <w:rPr>
          <w:rFonts w:ascii="Times New Roman" w:hAnsi="Times New Roman" w:cs="Times New Roman" w:eastAsiaTheme="minorEastAsia"/>
          <w:b/>
          <w:spacing w:val="20"/>
          <w:kern w:val="0"/>
          <w:sz w:val="32"/>
          <w:szCs w:val="32"/>
        </w:rPr>
        <w:t>招 标 人：</w:t>
      </w:r>
      <w:r>
        <w:rPr>
          <w:rFonts w:hint="eastAsia"/>
          <w:b/>
          <w:spacing w:val="20"/>
          <w:sz w:val="32"/>
          <w:szCs w:val="32"/>
          <w:u w:val="single"/>
          <w:lang w:val="en-US" w:eastAsia="zh-CN"/>
        </w:rPr>
        <w:t>合肥文旅博览集团有限公司</w:t>
      </w:r>
    </w:p>
    <w:p w14:paraId="41529B4E">
      <w:pPr>
        <w:tabs>
          <w:tab w:val="left" w:pos="2410"/>
        </w:tabs>
        <w:autoSpaceDE w:val="0"/>
        <w:autoSpaceDN w:val="0"/>
        <w:adjustRightInd w:val="0"/>
        <w:snapToGrid w:val="0"/>
        <w:spacing w:line="360" w:lineRule="auto"/>
        <w:jc w:val="center"/>
        <w:rPr>
          <w:rFonts w:ascii="Times New Roman" w:hAnsi="Times New Roman" w:cs="Times New Roman" w:eastAsiaTheme="minorEastAsia"/>
          <w:b/>
          <w:sz w:val="28"/>
        </w:rPr>
      </w:pPr>
    </w:p>
    <w:p w14:paraId="619801FE">
      <w:pPr>
        <w:pStyle w:val="21"/>
        <w:ind w:firstLine="0" w:firstLineChars="0"/>
        <w:jc w:val="center"/>
      </w:pPr>
      <w:r>
        <w:rPr>
          <w:rFonts w:eastAsiaTheme="majorEastAsia"/>
          <w:b/>
          <w:sz w:val="36"/>
          <w:u w:val="single"/>
        </w:rPr>
        <w:t xml:space="preserve"> </w:t>
      </w:r>
      <w:r>
        <w:rPr>
          <w:rFonts w:hint="eastAsia" w:eastAsiaTheme="majorEastAsia"/>
          <w:b/>
          <w:sz w:val="36"/>
          <w:u w:val="single"/>
          <w:lang w:val="en-US" w:eastAsia="zh-CN"/>
        </w:rPr>
        <w:t>2025</w:t>
      </w:r>
      <w:r>
        <w:rPr>
          <w:rFonts w:eastAsiaTheme="majorEastAsia"/>
          <w:b/>
          <w:sz w:val="36"/>
          <w:u w:val="single"/>
        </w:rPr>
        <w:t xml:space="preserve"> </w:t>
      </w:r>
      <w:r>
        <w:rPr>
          <w:rFonts w:eastAsiaTheme="majorEastAsia"/>
          <w:b/>
          <w:sz w:val="36"/>
        </w:rPr>
        <w:t>年</w:t>
      </w:r>
      <w:r>
        <w:rPr>
          <w:rFonts w:eastAsiaTheme="majorEastAsia"/>
          <w:b/>
          <w:sz w:val="36"/>
          <w:u w:val="single"/>
        </w:rPr>
        <w:t xml:space="preserve"> </w:t>
      </w:r>
      <w:r>
        <w:rPr>
          <w:rFonts w:hint="eastAsia" w:eastAsiaTheme="majorEastAsia"/>
          <w:b/>
          <w:sz w:val="36"/>
          <w:u w:val="single"/>
          <w:lang w:val="en-US" w:eastAsia="zh-CN"/>
        </w:rPr>
        <w:t>1</w:t>
      </w:r>
      <w:r>
        <w:rPr>
          <w:rFonts w:eastAsiaTheme="majorEastAsia"/>
          <w:b/>
          <w:sz w:val="36"/>
          <w:u w:val="single"/>
        </w:rPr>
        <w:t xml:space="preserve"> </w:t>
      </w:r>
      <w:r>
        <w:rPr>
          <w:rFonts w:eastAsiaTheme="majorEastAsia"/>
          <w:b/>
          <w:sz w:val="36"/>
        </w:rPr>
        <w:t>月</w:t>
      </w:r>
    </w:p>
    <w:p w14:paraId="0641C104">
      <w:pPr>
        <w:tabs>
          <w:tab w:val="left" w:pos="2410"/>
        </w:tabs>
        <w:autoSpaceDE w:val="0"/>
        <w:autoSpaceDN w:val="0"/>
        <w:adjustRightInd w:val="0"/>
        <w:snapToGrid w:val="0"/>
        <w:spacing w:line="360" w:lineRule="auto"/>
        <w:jc w:val="center"/>
        <w:rPr>
          <w:rFonts w:ascii="Times New Roman" w:hAnsi="Times New Roman" w:cs="Times New Roman" w:eastAsiaTheme="minorEastAsia"/>
          <w:b/>
          <w:sz w:val="28"/>
        </w:rPr>
      </w:pPr>
    </w:p>
    <w:p w14:paraId="493EC277">
      <w:pPr>
        <w:tabs>
          <w:tab w:val="left" w:pos="2410"/>
        </w:tabs>
        <w:autoSpaceDE w:val="0"/>
        <w:autoSpaceDN w:val="0"/>
        <w:adjustRightInd w:val="0"/>
        <w:snapToGrid w:val="0"/>
        <w:spacing w:line="360" w:lineRule="auto"/>
        <w:jc w:val="center"/>
        <w:rPr>
          <w:rFonts w:ascii="Times New Roman" w:hAnsi="Times New Roman" w:cs="Times New Roman" w:eastAsiaTheme="minorEastAsia"/>
          <w:b/>
          <w:sz w:val="28"/>
        </w:rPr>
      </w:pPr>
    </w:p>
    <w:p w14:paraId="7BFB4C38">
      <w:pPr>
        <w:tabs>
          <w:tab w:val="left" w:pos="2410"/>
        </w:tabs>
        <w:autoSpaceDE w:val="0"/>
        <w:autoSpaceDN w:val="0"/>
        <w:adjustRightInd w:val="0"/>
        <w:snapToGrid w:val="0"/>
        <w:spacing w:line="360" w:lineRule="auto"/>
        <w:jc w:val="center"/>
        <w:rPr>
          <w:rFonts w:ascii="Times New Roman" w:hAnsi="Times New Roman" w:cs="Times New Roman" w:eastAsiaTheme="minorEastAsia"/>
          <w:b/>
          <w:sz w:val="40"/>
          <w:szCs w:val="36"/>
        </w:rPr>
      </w:pPr>
      <w:r>
        <w:rPr>
          <w:rFonts w:ascii="Times New Roman" w:hAnsi="Times New Roman" w:cs="Times New Roman" w:eastAsiaTheme="minorEastAsia"/>
          <w:b/>
          <w:sz w:val="40"/>
          <w:szCs w:val="36"/>
        </w:rPr>
        <w:t>目  录</w:t>
      </w:r>
    </w:p>
    <w:p w14:paraId="56BA61D9">
      <w:pPr>
        <w:pStyle w:val="18"/>
        <w:tabs>
          <w:tab w:val="right" w:leader="dot" w:pos="8279"/>
        </w:tabs>
        <w:rPr>
          <w:rFonts w:ascii="Times New Roman" w:hAnsi="Times New Roman" w:cs="Times New Roman"/>
          <w:b/>
          <w:bCs/>
          <w:sz w:val="22"/>
          <w:szCs w:val="28"/>
        </w:rPr>
      </w:pPr>
      <w:r>
        <w:rPr>
          <w:rFonts w:ascii="Times New Roman" w:hAnsi="Times New Roman" w:cs="Times New Roman"/>
          <w:b/>
          <w:sz w:val="24"/>
          <w:szCs w:val="24"/>
        </w:rPr>
        <w:fldChar w:fldCharType="begin"/>
      </w:r>
      <w:r>
        <w:rPr>
          <w:rFonts w:ascii="Times New Roman" w:hAnsi="Times New Roman" w:cs="Times New Roman"/>
          <w:b/>
          <w:sz w:val="24"/>
          <w:szCs w:val="24"/>
        </w:rPr>
        <w:instrText xml:space="preserve"> TOC \o "1-2" \h \z \u </w:instrText>
      </w:r>
      <w:r>
        <w:rPr>
          <w:rFonts w:ascii="Times New Roman" w:hAnsi="Times New Roman" w:cs="Times New Roman"/>
          <w:b/>
          <w:sz w:val="24"/>
          <w:szCs w:val="24"/>
        </w:rPr>
        <w:fldChar w:fldCharType="separate"/>
      </w:r>
      <w:r>
        <w:rPr>
          <w:b/>
          <w:bCs/>
          <w:sz w:val="22"/>
          <w:szCs w:val="28"/>
        </w:rPr>
        <w:fldChar w:fldCharType="begin"/>
      </w:r>
      <w:r>
        <w:rPr>
          <w:b/>
          <w:bCs/>
          <w:sz w:val="22"/>
          <w:szCs w:val="28"/>
        </w:rPr>
        <w:instrText xml:space="preserve"> HYPERLINK \l "_Toc31841" </w:instrText>
      </w:r>
      <w:r>
        <w:rPr>
          <w:b/>
          <w:bCs/>
          <w:sz w:val="22"/>
          <w:szCs w:val="28"/>
        </w:rPr>
        <w:fldChar w:fldCharType="separate"/>
      </w:r>
      <w:r>
        <w:rPr>
          <w:rFonts w:ascii="Times New Roman" w:hAnsi="Times New Roman" w:cs="Times New Roman"/>
          <w:b/>
          <w:bCs/>
          <w:sz w:val="22"/>
          <w:szCs w:val="28"/>
        </w:rPr>
        <w:t>第一章  询价公告</w:t>
      </w:r>
      <w:r>
        <w:rPr>
          <w:rFonts w:ascii="Times New Roman" w:hAnsi="Times New Roman" w:cs="Times New Roman"/>
          <w:b/>
          <w:bCs/>
          <w:sz w:val="22"/>
          <w:szCs w:val="28"/>
        </w:rPr>
        <w:tab/>
      </w:r>
      <w:r>
        <w:rPr>
          <w:rFonts w:ascii="Times New Roman" w:hAnsi="Times New Roman" w:cs="Times New Roman"/>
          <w:b/>
          <w:bCs/>
          <w:sz w:val="22"/>
          <w:szCs w:val="28"/>
        </w:rPr>
        <w:fldChar w:fldCharType="begin"/>
      </w:r>
      <w:r>
        <w:rPr>
          <w:rFonts w:ascii="Times New Roman" w:hAnsi="Times New Roman" w:cs="Times New Roman"/>
          <w:b/>
          <w:bCs/>
          <w:sz w:val="22"/>
          <w:szCs w:val="28"/>
        </w:rPr>
        <w:instrText xml:space="preserve"> PAGEREF _Toc31841 </w:instrText>
      </w:r>
      <w:r>
        <w:rPr>
          <w:rFonts w:ascii="Times New Roman" w:hAnsi="Times New Roman" w:cs="Times New Roman"/>
          <w:b/>
          <w:bCs/>
          <w:sz w:val="22"/>
          <w:szCs w:val="28"/>
        </w:rPr>
        <w:fldChar w:fldCharType="separate"/>
      </w:r>
      <w:r>
        <w:rPr>
          <w:rFonts w:ascii="Times New Roman" w:hAnsi="Times New Roman" w:cs="Times New Roman"/>
          <w:b/>
          <w:bCs/>
          <w:sz w:val="22"/>
          <w:szCs w:val="28"/>
        </w:rPr>
        <w:t>1</w:t>
      </w:r>
      <w:r>
        <w:rPr>
          <w:rFonts w:ascii="Times New Roman" w:hAnsi="Times New Roman" w:cs="Times New Roman"/>
          <w:b/>
          <w:bCs/>
          <w:sz w:val="22"/>
          <w:szCs w:val="28"/>
        </w:rPr>
        <w:fldChar w:fldCharType="end"/>
      </w:r>
      <w:r>
        <w:rPr>
          <w:rFonts w:ascii="Times New Roman" w:hAnsi="Times New Roman" w:cs="Times New Roman"/>
          <w:b/>
          <w:bCs/>
          <w:sz w:val="22"/>
          <w:szCs w:val="28"/>
        </w:rPr>
        <w:fldChar w:fldCharType="end"/>
      </w:r>
    </w:p>
    <w:p w14:paraId="513ADAAE">
      <w:pPr>
        <w:pStyle w:val="18"/>
        <w:tabs>
          <w:tab w:val="right" w:leader="dot" w:pos="8279"/>
        </w:tabs>
        <w:rPr>
          <w:rFonts w:ascii="Times New Roman" w:hAnsi="Times New Roman" w:cs="Times New Roman"/>
          <w:b/>
          <w:bCs/>
          <w:sz w:val="22"/>
          <w:szCs w:val="28"/>
        </w:rPr>
      </w:pPr>
      <w:r>
        <w:rPr>
          <w:b/>
          <w:bCs/>
          <w:sz w:val="22"/>
          <w:szCs w:val="28"/>
        </w:rPr>
        <w:fldChar w:fldCharType="begin"/>
      </w:r>
      <w:r>
        <w:rPr>
          <w:b/>
          <w:bCs/>
          <w:sz w:val="22"/>
          <w:szCs w:val="28"/>
        </w:rPr>
        <w:instrText xml:space="preserve"> HYPERLINK \l "_Toc22742" </w:instrText>
      </w:r>
      <w:r>
        <w:rPr>
          <w:b/>
          <w:bCs/>
          <w:sz w:val="22"/>
          <w:szCs w:val="28"/>
        </w:rPr>
        <w:fldChar w:fldCharType="separate"/>
      </w:r>
      <w:r>
        <w:rPr>
          <w:rFonts w:ascii="Times New Roman" w:hAnsi="Times New Roman" w:cs="Times New Roman"/>
          <w:b/>
          <w:bCs/>
          <w:sz w:val="22"/>
          <w:szCs w:val="28"/>
        </w:rPr>
        <w:t>第二章  投标人须知</w:t>
      </w:r>
      <w:r>
        <w:rPr>
          <w:rFonts w:ascii="Times New Roman" w:hAnsi="Times New Roman" w:cs="Times New Roman"/>
          <w:b/>
          <w:bCs/>
          <w:sz w:val="22"/>
          <w:szCs w:val="28"/>
        </w:rPr>
        <w:tab/>
      </w:r>
      <w:r>
        <w:rPr>
          <w:rFonts w:ascii="Times New Roman" w:hAnsi="Times New Roman" w:cs="Times New Roman"/>
          <w:b/>
          <w:bCs/>
          <w:sz w:val="22"/>
          <w:szCs w:val="28"/>
        </w:rPr>
        <w:fldChar w:fldCharType="begin"/>
      </w:r>
      <w:r>
        <w:rPr>
          <w:rFonts w:ascii="Times New Roman" w:hAnsi="Times New Roman" w:cs="Times New Roman"/>
          <w:b/>
          <w:bCs/>
          <w:sz w:val="22"/>
          <w:szCs w:val="28"/>
        </w:rPr>
        <w:instrText xml:space="preserve"> PAGEREF _Toc22742 </w:instrText>
      </w:r>
      <w:r>
        <w:rPr>
          <w:rFonts w:ascii="Times New Roman" w:hAnsi="Times New Roman" w:cs="Times New Roman"/>
          <w:b/>
          <w:bCs/>
          <w:sz w:val="22"/>
          <w:szCs w:val="28"/>
        </w:rPr>
        <w:fldChar w:fldCharType="separate"/>
      </w:r>
      <w:r>
        <w:rPr>
          <w:rFonts w:ascii="Times New Roman" w:hAnsi="Times New Roman" w:cs="Times New Roman"/>
          <w:b/>
          <w:bCs/>
          <w:sz w:val="22"/>
          <w:szCs w:val="28"/>
        </w:rPr>
        <w:t>3</w:t>
      </w:r>
      <w:r>
        <w:rPr>
          <w:rFonts w:ascii="Times New Roman" w:hAnsi="Times New Roman" w:cs="Times New Roman"/>
          <w:b/>
          <w:bCs/>
          <w:sz w:val="22"/>
          <w:szCs w:val="28"/>
        </w:rPr>
        <w:fldChar w:fldCharType="end"/>
      </w:r>
      <w:r>
        <w:rPr>
          <w:rFonts w:ascii="Times New Roman" w:hAnsi="Times New Roman" w:cs="Times New Roman"/>
          <w:b/>
          <w:bCs/>
          <w:sz w:val="22"/>
          <w:szCs w:val="28"/>
        </w:rPr>
        <w:fldChar w:fldCharType="end"/>
      </w:r>
    </w:p>
    <w:p w14:paraId="4E825E76">
      <w:pPr>
        <w:pStyle w:val="18"/>
        <w:tabs>
          <w:tab w:val="right" w:leader="dot" w:pos="8279"/>
        </w:tabs>
        <w:rPr>
          <w:rFonts w:ascii="Times New Roman" w:hAnsi="Times New Roman" w:cs="Times New Roman"/>
          <w:b/>
          <w:bCs/>
          <w:sz w:val="22"/>
          <w:szCs w:val="28"/>
        </w:rPr>
      </w:pPr>
      <w:r>
        <w:rPr>
          <w:b/>
          <w:bCs/>
          <w:sz w:val="22"/>
          <w:szCs w:val="28"/>
        </w:rPr>
        <w:fldChar w:fldCharType="begin"/>
      </w:r>
      <w:r>
        <w:rPr>
          <w:b/>
          <w:bCs/>
          <w:sz w:val="22"/>
          <w:szCs w:val="28"/>
        </w:rPr>
        <w:instrText xml:space="preserve"> HYPERLINK \l "_Toc11969" </w:instrText>
      </w:r>
      <w:r>
        <w:rPr>
          <w:b/>
          <w:bCs/>
          <w:sz w:val="22"/>
          <w:szCs w:val="28"/>
        </w:rPr>
        <w:fldChar w:fldCharType="separate"/>
      </w:r>
      <w:r>
        <w:rPr>
          <w:rFonts w:ascii="Times New Roman" w:hAnsi="Times New Roman" w:cs="Times New Roman"/>
          <w:b/>
          <w:bCs/>
          <w:sz w:val="22"/>
          <w:szCs w:val="28"/>
        </w:rPr>
        <w:t>第三章  招标人要求</w:t>
      </w:r>
      <w:r>
        <w:rPr>
          <w:rFonts w:ascii="Times New Roman" w:hAnsi="Times New Roman" w:cs="Times New Roman"/>
          <w:b/>
          <w:bCs/>
          <w:sz w:val="22"/>
          <w:szCs w:val="28"/>
        </w:rPr>
        <w:tab/>
      </w:r>
      <w:r>
        <w:rPr>
          <w:rFonts w:ascii="Times New Roman" w:hAnsi="Times New Roman" w:cs="Times New Roman"/>
          <w:b/>
          <w:bCs/>
          <w:sz w:val="22"/>
          <w:szCs w:val="28"/>
        </w:rPr>
        <w:fldChar w:fldCharType="begin"/>
      </w:r>
      <w:r>
        <w:rPr>
          <w:rFonts w:ascii="Times New Roman" w:hAnsi="Times New Roman" w:cs="Times New Roman"/>
          <w:b/>
          <w:bCs/>
          <w:sz w:val="22"/>
          <w:szCs w:val="28"/>
        </w:rPr>
        <w:instrText xml:space="preserve"> PAGEREF _Toc11969 </w:instrText>
      </w:r>
      <w:r>
        <w:rPr>
          <w:rFonts w:ascii="Times New Roman" w:hAnsi="Times New Roman" w:cs="Times New Roman"/>
          <w:b/>
          <w:bCs/>
          <w:sz w:val="22"/>
          <w:szCs w:val="28"/>
        </w:rPr>
        <w:fldChar w:fldCharType="separate"/>
      </w:r>
      <w:r>
        <w:rPr>
          <w:rFonts w:ascii="Times New Roman" w:hAnsi="Times New Roman" w:cs="Times New Roman"/>
          <w:b/>
          <w:bCs/>
          <w:sz w:val="22"/>
          <w:szCs w:val="28"/>
        </w:rPr>
        <w:t>10</w:t>
      </w:r>
      <w:r>
        <w:rPr>
          <w:rFonts w:ascii="Times New Roman" w:hAnsi="Times New Roman" w:cs="Times New Roman"/>
          <w:b/>
          <w:bCs/>
          <w:sz w:val="22"/>
          <w:szCs w:val="28"/>
        </w:rPr>
        <w:fldChar w:fldCharType="end"/>
      </w:r>
      <w:r>
        <w:rPr>
          <w:rFonts w:ascii="Times New Roman" w:hAnsi="Times New Roman" w:cs="Times New Roman"/>
          <w:b/>
          <w:bCs/>
          <w:sz w:val="22"/>
          <w:szCs w:val="28"/>
        </w:rPr>
        <w:fldChar w:fldCharType="end"/>
      </w:r>
    </w:p>
    <w:p w14:paraId="0B9682EF">
      <w:pPr>
        <w:pStyle w:val="18"/>
        <w:tabs>
          <w:tab w:val="right" w:leader="dot" w:pos="8279"/>
        </w:tabs>
        <w:rPr>
          <w:rFonts w:ascii="Times New Roman" w:hAnsi="Times New Roman" w:cs="Times New Roman"/>
          <w:b/>
          <w:bCs/>
          <w:sz w:val="22"/>
          <w:szCs w:val="28"/>
        </w:rPr>
      </w:pPr>
      <w:r>
        <w:rPr>
          <w:b/>
          <w:bCs/>
          <w:sz w:val="22"/>
          <w:szCs w:val="28"/>
        </w:rPr>
        <w:fldChar w:fldCharType="begin"/>
      </w:r>
      <w:r>
        <w:rPr>
          <w:b/>
          <w:bCs/>
          <w:sz w:val="22"/>
          <w:szCs w:val="28"/>
        </w:rPr>
        <w:instrText xml:space="preserve"> HYPERLINK \l "_Toc17615" </w:instrText>
      </w:r>
      <w:r>
        <w:rPr>
          <w:b/>
          <w:bCs/>
          <w:sz w:val="22"/>
          <w:szCs w:val="28"/>
        </w:rPr>
        <w:fldChar w:fldCharType="separate"/>
      </w:r>
      <w:r>
        <w:rPr>
          <w:rFonts w:ascii="Times New Roman" w:hAnsi="Times New Roman" w:cs="Times New Roman"/>
          <w:b/>
          <w:bCs/>
          <w:sz w:val="22"/>
          <w:szCs w:val="28"/>
        </w:rPr>
        <w:t>第四章  评审方法和标准</w:t>
      </w:r>
      <w:r>
        <w:rPr>
          <w:rFonts w:ascii="Times New Roman" w:hAnsi="Times New Roman" w:cs="Times New Roman"/>
          <w:b/>
          <w:bCs/>
          <w:sz w:val="22"/>
          <w:szCs w:val="28"/>
        </w:rPr>
        <w:tab/>
      </w:r>
      <w:r>
        <w:rPr>
          <w:rFonts w:ascii="Times New Roman" w:hAnsi="Times New Roman" w:cs="Times New Roman"/>
          <w:b/>
          <w:bCs/>
          <w:sz w:val="22"/>
          <w:szCs w:val="28"/>
        </w:rPr>
        <w:fldChar w:fldCharType="begin"/>
      </w:r>
      <w:r>
        <w:rPr>
          <w:rFonts w:ascii="Times New Roman" w:hAnsi="Times New Roman" w:cs="Times New Roman"/>
          <w:b/>
          <w:bCs/>
          <w:sz w:val="22"/>
          <w:szCs w:val="28"/>
        </w:rPr>
        <w:instrText xml:space="preserve"> PAGEREF _Toc17615 </w:instrText>
      </w:r>
      <w:r>
        <w:rPr>
          <w:rFonts w:ascii="Times New Roman" w:hAnsi="Times New Roman" w:cs="Times New Roman"/>
          <w:b/>
          <w:bCs/>
          <w:sz w:val="22"/>
          <w:szCs w:val="28"/>
        </w:rPr>
        <w:fldChar w:fldCharType="separate"/>
      </w:r>
      <w:r>
        <w:rPr>
          <w:rFonts w:ascii="Times New Roman" w:hAnsi="Times New Roman" w:cs="Times New Roman"/>
          <w:b/>
          <w:bCs/>
          <w:sz w:val="22"/>
          <w:szCs w:val="28"/>
        </w:rPr>
        <w:t>14</w:t>
      </w:r>
      <w:r>
        <w:rPr>
          <w:rFonts w:ascii="Times New Roman" w:hAnsi="Times New Roman" w:cs="Times New Roman"/>
          <w:b/>
          <w:bCs/>
          <w:sz w:val="22"/>
          <w:szCs w:val="28"/>
        </w:rPr>
        <w:fldChar w:fldCharType="end"/>
      </w:r>
      <w:r>
        <w:rPr>
          <w:rFonts w:ascii="Times New Roman" w:hAnsi="Times New Roman" w:cs="Times New Roman"/>
          <w:b/>
          <w:bCs/>
          <w:sz w:val="22"/>
          <w:szCs w:val="28"/>
        </w:rPr>
        <w:fldChar w:fldCharType="end"/>
      </w:r>
    </w:p>
    <w:p w14:paraId="707E0C0F">
      <w:pPr>
        <w:pStyle w:val="18"/>
        <w:tabs>
          <w:tab w:val="right" w:leader="dot" w:pos="8279"/>
        </w:tabs>
        <w:rPr>
          <w:rFonts w:ascii="Times New Roman" w:hAnsi="Times New Roman" w:cs="Times New Roman"/>
          <w:b/>
          <w:bCs/>
          <w:sz w:val="22"/>
          <w:szCs w:val="28"/>
        </w:rPr>
      </w:pPr>
      <w:r>
        <w:rPr>
          <w:b/>
          <w:bCs/>
          <w:sz w:val="22"/>
          <w:szCs w:val="28"/>
        </w:rPr>
        <w:fldChar w:fldCharType="begin"/>
      </w:r>
      <w:r>
        <w:rPr>
          <w:b/>
          <w:bCs/>
          <w:sz w:val="22"/>
          <w:szCs w:val="28"/>
        </w:rPr>
        <w:instrText xml:space="preserve"> HYPERLINK \l "_Toc28197" </w:instrText>
      </w:r>
      <w:r>
        <w:rPr>
          <w:b/>
          <w:bCs/>
          <w:sz w:val="22"/>
          <w:szCs w:val="28"/>
        </w:rPr>
        <w:fldChar w:fldCharType="separate"/>
      </w:r>
      <w:r>
        <w:rPr>
          <w:rFonts w:ascii="Times New Roman" w:hAnsi="Times New Roman" w:cs="Times New Roman"/>
          <w:b/>
          <w:bCs/>
          <w:sz w:val="22"/>
          <w:szCs w:val="28"/>
        </w:rPr>
        <w:t>第五章  合同</w:t>
      </w:r>
      <w:r>
        <w:rPr>
          <w:rFonts w:ascii="Times New Roman" w:hAnsi="Times New Roman" w:cs="Times New Roman"/>
          <w:b/>
          <w:bCs/>
          <w:sz w:val="22"/>
          <w:szCs w:val="28"/>
        </w:rPr>
        <w:tab/>
      </w:r>
      <w:r>
        <w:rPr>
          <w:rFonts w:ascii="Times New Roman" w:hAnsi="Times New Roman" w:cs="Times New Roman"/>
          <w:b/>
          <w:bCs/>
          <w:sz w:val="22"/>
          <w:szCs w:val="28"/>
        </w:rPr>
        <w:fldChar w:fldCharType="begin"/>
      </w:r>
      <w:r>
        <w:rPr>
          <w:rFonts w:ascii="Times New Roman" w:hAnsi="Times New Roman" w:cs="Times New Roman"/>
          <w:b/>
          <w:bCs/>
          <w:sz w:val="22"/>
          <w:szCs w:val="28"/>
        </w:rPr>
        <w:instrText xml:space="preserve"> PAGEREF _Toc28197 </w:instrText>
      </w:r>
      <w:r>
        <w:rPr>
          <w:rFonts w:ascii="Times New Roman" w:hAnsi="Times New Roman" w:cs="Times New Roman"/>
          <w:b/>
          <w:bCs/>
          <w:sz w:val="22"/>
          <w:szCs w:val="28"/>
        </w:rPr>
        <w:fldChar w:fldCharType="separate"/>
      </w:r>
      <w:r>
        <w:rPr>
          <w:rFonts w:ascii="Times New Roman" w:hAnsi="Times New Roman" w:cs="Times New Roman"/>
          <w:b/>
          <w:bCs/>
          <w:sz w:val="22"/>
          <w:szCs w:val="28"/>
        </w:rPr>
        <w:t>16</w:t>
      </w:r>
      <w:r>
        <w:rPr>
          <w:rFonts w:ascii="Times New Roman" w:hAnsi="Times New Roman" w:cs="Times New Roman"/>
          <w:b/>
          <w:bCs/>
          <w:sz w:val="22"/>
          <w:szCs w:val="28"/>
        </w:rPr>
        <w:fldChar w:fldCharType="end"/>
      </w:r>
      <w:r>
        <w:rPr>
          <w:rFonts w:ascii="Times New Roman" w:hAnsi="Times New Roman" w:cs="Times New Roman"/>
          <w:b/>
          <w:bCs/>
          <w:sz w:val="22"/>
          <w:szCs w:val="28"/>
        </w:rPr>
        <w:fldChar w:fldCharType="end"/>
      </w:r>
    </w:p>
    <w:p w14:paraId="369753B3">
      <w:pPr>
        <w:pStyle w:val="18"/>
        <w:tabs>
          <w:tab w:val="right" w:leader="dot" w:pos="8279"/>
        </w:tabs>
        <w:rPr>
          <w:rFonts w:ascii="Times New Roman" w:hAnsi="Times New Roman" w:cs="Times New Roman"/>
          <w:b/>
          <w:bCs/>
          <w:sz w:val="22"/>
          <w:szCs w:val="28"/>
        </w:rPr>
      </w:pPr>
      <w:r>
        <w:rPr>
          <w:b/>
          <w:bCs/>
          <w:sz w:val="22"/>
          <w:szCs w:val="28"/>
        </w:rPr>
        <w:fldChar w:fldCharType="begin"/>
      </w:r>
      <w:r>
        <w:rPr>
          <w:b/>
          <w:bCs/>
          <w:sz w:val="22"/>
          <w:szCs w:val="28"/>
        </w:rPr>
        <w:instrText xml:space="preserve"> HYPERLINK \l "_Toc22226" </w:instrText>
      </w:r>
      <w:r>
        <w:rPr>
          <w:b/>
          <w:bCs/>
          <w:sz w:val="22"/>
          <w:szCs w:val="28"/>
        </w:rPr>
        <w:fldChar w:fldCharType="separate"/>
      </w:r>
      <w:r>
        <w:rPr>
          <w:rFonts w:ascii="Times New Roman" w:hAnsi="Times New Roman" w:cs="Times New Roman"/>
          <w:b/>
          <w:bCs/>
          <w:sz w:val="22"/>
          <w:szCs w:val="28"/>
        </w:rPr>
        <w:t>第六章  投标文件格式</w:t>
      </w:r>
      <w:r>
        <w:rPr>
          <w:rFonts w:ascii="Times New Roman" w:hAnsi="Times New Roman" w:cs="Times New Roman"/>
          <w:b/>
          <w:bCs/>
          <w:sz w:val="22"/>
          <w:szCs w:val="28"/>
        </w:rPr>
        <w:tab/>
      </w:r>
      <w:r>
        <w:rPr>
          <w:rFonts w:ascii="Times New Roman" w:hAnsi="Times New Roman" w:cs="Times New Roman"/>
          <w:b/>
          <w:bCs/>
          <w:sz w:val="22"/>
          <w:szCs w:val="28"/>
        </w:rPr>
        <w:fldChar w:fldCharType="begin"/>
      </w:r>
      <w:r>
        <w:rPr>
          <w:rFonts w:ascii="Times New Roman" w:hAnsi="Times New Roman" w:cs="Times New Roman"/>
          <w:b/>
          <w:bCs/>
          <w:sz w:val="22"/>
          <w:szCs w:val="28"/>
        </w:rPr>
        <w:instrText xml:space="preserve"> PAGEREF _Toc22226 </w:instrText>
      </w:r>
      <w:r>
        <w:rPr>
          <w:rFonts w:ascii="Times New Roman" w:hAnsi="Times New Roman" w:cs="Times New Roman"/>
          <w:b/>
          <w:bCs/>
          <w:sz w:val="22"/>
          <w:szCs w:val="28"/>
        </w:rPr>
        <w:fldChar w:fldCharType="separate"/>
      </w:r>
      <w:r>
        <w:rPr>
          <w:rFonts w:ascii="Times New Roman" w:hAnsi="Times New Roman" w:cs="Times New Roman"/>
          <w:b/>
          <w:bCs/>
          <w:sz w:val="22"/>
          <w:szCs w:val="28"/>
        </w:rPr>
        <w:t>28</w:t>
      </w:r>
      <w:r>
        <w:rPr>
          <w:rFonts w:ascii="Times New Roman" w:hAnsi="Times New Roman" w:cs="Times New Roman"/>
          <w:b/>
          <w:bCs/>
          <w:sz w:val="22"/>
          <w:szCs w:val="28"/>
        </w:rPr>
        <w:fldChar w:fldCharType="end"/>
      </w:r>
      <w:r>
        <w:rPr>
          <w:rFonts w:ascii="Times New Roman" w:hAnsi="Times New Roman" w:cs="Times New Roman"/>
          <w:b/>
          <w:bCs/>
          <w:sz w:val="22"/>
          <w:szCs w:val="28"/>
        </w:rPr>
        <w:fldChar w:fldCharType="end"/>
      </w:r>
    </w:p>
    <w:p w14:paraId="15CA5E7A">
      <w:pPr>
        <w:pStyle w:val="18"/>
        <w:tabs>
          <w:tab w:val="right" w:leader="dot" w:pos="8279"/>
        </w:tabs>
        <w:rPr>
          <w:rFonts w:ascii="Times New Roman" w:hAnsi="Times New Roman" w:cs="Times New Roman"/>
        </w:rPr>
      </w:pPr>
    </w:p>
    <w:p w14:paraId="59737542">
      <w:pPr>
        <w:spacing w:line="360" w:lineRule="auto"/>
        <w:rPr>
          <w:rFonts w:ascii="Times New Roman" w:hAnsi="Times New Roman" w:cs="Times New Roman" w:eastAsiaTheme="minorEastAsia"/>
          <w:b/>
          <w:sz w:val="32"/>
        </w:rPr>
      </w:pPr>
      <w:r>
        <w:rPr>
          <w:rFonts w:ascii="Times New Roman" w:hAnsi="Times New Roman" w:cs="Times New Roman" w:eastAsiaTheme="minorEastAsia"/>
          <w:szCs w:val="24"/>
        </w:rPr>
        <w:fldChar w:fldCharType="end"/>
      </w:r>
    </w:p>
    <w:p w14:paraId="3BF6268B">
      <w:pPr>
        <w:spacing w:line="360" w:lineRule="auto"/>
        <w:jc w:val="center"/>
        <w:outlineLvl w:val="1"/>
        <w:rPr>
          <w:rFonts w:ascii="Times New Roman" w:hAnsi="Times New Roman" w:cs="Times New Roman" w:eastAsiaTheme="minorEastAsia"/>
          <w:b/>
          <w:sz w:val="28"/>
        </w:rPr>
        <w:sectPr>
          <w:footerReference r:id="rId3" w:type="default"/>
          <w:pgSz w:w="11907" w:h="16840"/>
          <w:pgMar w:top="1440" w:right="1519" w:bottom="1440" w:left="1519" w:header="851" w:footer="851" w:gutter="0"/>
          <w:cols w:space="720" w:num="1"/>
          <w:docGrid w:linePitch="462" w:charSpace="0"/>
        </w:sectPr>
      </w:pPr>
    </w:p>
    <w:p w14:paraId="351FB163">
      <w:pPr>
        <w:spacing w:line="360" w:lineRule="auto"/>
        <w:jc w:val="center"/>
        <w:outlineLvl w:val="1"/>
        <w:rPr>
          <w:rFonts w:ascii="Times New Roman" w:hAnsi="Times New Roman" w:cs="Times New Roman" w:eastAsiaTheme="minorEastAsia"/>
          <w:b/>
          <w:sz w:val="28"/>
        </w:rPr>
      </w:pPr>
      <w:bookmarkStart w:id="1" w:name="_Toc31841"/>
      <w:r>
        <w:rPr>
          <w:rFonts w:ascii="Times New Roman" w:hAnsi="Times New Roman" w:cs="Times New Roman" w:eastAsiaTheme="minorEastAsia"/>
          <w:b/>
          <w:sz w:val="28"/>
        </w:rPr>
        <w:t>第一章  询价</w:t>
      </w:r>
      <w:bookmarkEnd w:id="1"/>
      <w:r>
        <w:rPr>
          <w:rFonts w:ascii="Times New Roman" w:hAnsi="Times New Roman" w:cs="Times New Roman" w:eastAsiaTheme="minorEastAsia"/>
          <w:b/>
          <w:sz w:val="28"/>
        </w:rPr>
        <w:t>公告</w:t>
      </w:r>
    </w:p>
    <w:p w14:paraId="1451DB66">
      <w:pPr>
        <w:spacing w:line="360" w:lineRule="auto"/>
        <w:ind w:firstLine="435"/>
        <w:rPr>
          <w:rFonts w:ascii="Times New Roman" w:hAnsi="Times New Roman" w:cs="Times New Roman" w:eastAsiaTheme="minorEastAsia"/>
          <w:szCs w:val="21"/>
        </w:rPr>
      </w:pPr>
      <w:r>
        <w:rPr>
          <w:rFonts w:ascii="Times New Roman" w:hAnsi="Times New Roman" w:cs="Times New Roman" w:eastAsiaTheme="minorEastAsia"/>
          <w:szCs w:val="21"/>
          <w:u w:val="single"/>
        </w:rPr>
        <w:t xml:space="preserve"> </w:t>
      </w:r>
      <w:r>
        <w:rPr>
          <w:rFonts w:hint="eastAsia" w:ascii="Times New Roman" w:hAnsi="Times New Roman" w:cs="Times New Roman"/>
          <w:bCs/>
          <w:color w:val="000000"/>
          <w:sz w:val="21"/>
          <w:szCs w:val="21"/>
          <w:u w:val="single"/>
          <w:lang w:val="en-US" w:eastAsia="zh-CN"/>
        </w:rPr>
        <w:t>合肥文旅博览集团有限公司</w:t>
      </w:r>
      <w:r>
        <w:rPr>
          <w:rFonts w:ascii="Times New Roman" w:hAnsi="Times New Roman" w:cs="Times New Roman" w:eastAsiaTheme="minorEastAsia"/>
          <w:szCs w:val="21"/>
          <w:u w:val="single"/>
        </w:rPr>
        <w:t xml:space="preserve"> </w:t>
      </w:r>
      <w:r>
        <w:rPr>
          <w:rFonts w:hint="eastAsia"/>
          <w:bCs/>
          <w:color w:val="000000"/>
          <w:lang w:eastAsia="zh-CN"/>
        </w:rPr>
        <w:t>（</w:t>
      </w:r>
      <w:r>
        <w:rPr>
          <w:rFonts w:hint="eastAsia"/>
          <w:bCs/>
          <w:color w:val="000000"/>
          <w:lang w:val="en-US" w:eastAsia="zh-CN"/>
        </w:rPr>
        <w:t>简称“招标人”</w:t>
      </w:r>
      <w:r>
        <w:rPr>
          <w:rFonts w:hint="eastAsia"/>
          <w:bCs/>
          <w:color w:val="000000"/>
          <w:lang w:eastAsia="zh-CN"/>
        </w:rPr>
        <w:t>）</w:t>
      </w:r>
      <w:r>
        <w:rPr>
          <w:rFonts w:ascii="Times New Roman" w:hAnsi="Times New Roman" w:cs="Times New Roman" w:eastAsiaTheme="minorEastAsia"/>
          <w:szCs w:val="21"/>
        </w:rPr>
        <w:t>现对</w:t>
      </w:r>
      <w:r>
        <w:rPr>
          <w:rFonts w:hint="eastAsia" w:ascii="Times New Roman" w:hAnsi="Times New Roman" w:cs="Times New Roman"/>
          <w:szCs w:val="21"/>
          <w:u w:val="single"/>
          <w:lang w:eastAsia="zh-CN"/>
        </w:rPr>
        <w:t xml:space="preserve"> 文旅集团2024年下半年集中处置资产评估</w:t>
      </w:r>
      <w:r>
        <w:rPr>
          <w:rFonts w:hint="eastAsia" w:ascii="Times New Roman" w:hAnsi="Times New Roman" w:cs="Times New Roman"/>
          <w:bCs/>
          <w:color w:val="000000"/>
          <w:sz w:val="21"/>
          <w:szCs w:val="21"/>
          <w:u w:val="single"/>
          <w:lang w:val="en-US" w:eastAsia="zh-CN"/>
        </w:rPr>
        <w:t xml:space="preserve"> </w:t>
      </w:r>
      <w:r>
        <w:rPr>
          <w:rFonts w:ascii="Times New Roman" w:hAnsi="Times New Roman" w:cs="Times New Roman" w:eastAsiaTheme="minorEastAsia"/>
          <w:szCs w:val="21"/>
        </w:rPr>
        <w:t>进行</w:t>
      </w:r>
      <w:r>
        <w:rPr>
          <w:rFonts w:hint="eastAsia" w:ascii="Times New Roman" w:hAnsi="Times New Roman" w:cs="Times New Roman" w:eastAsiaTheme="minorEastAsia"/>
          <w:szCs w:val="21"/>
        </w:rPr>
        <w:t>询</w:t>
      </w:r>
      <w:r>
        <w:rPr>
          <w:rFonts w:ascii="Times New Roman" w:hAnsi="Times New Roman" w:cs="Times New Roman" w:eastAsiaTheme="minorEastAsia"/>
          <w:szCs w:val="21"/>
        </w:rPr>
        <w:t>价，欢迎具备条件的投标人参加投标。</w:t>
      </w:r>
    </w:p>
    <w:p w14:paraId="45A10260">
      <w:pPr>
        <w:spacing w:line="360" w:lineRule="auto"/>
        <w:rPr>
          <w:rFonts w:ascii="Times New Roman" w:hAnsi="Times New Roman" w:cs="Times New Roman" w:eastAsiaTheme="minorEastAsia"/>
          <w:b/>
          <w:bCs/>
          <w:sz w:val="24"/>
          <w:szCs w:val="18"/>
        </w:rPr>
      </w:pPr>
      <w:r>
        <w:rPr>
          <w:rFonts w:ascii="Times New Roman" w:hAnsi="Times New Roman" w:cs="Times New Roman" w:eastAsiaTheme="minorEastAsia"/>
          <w:b/>
          <w:bCs/>
          <w:sz w:val="24"/>
          <w:szCs w:val="18"/>
        </w:rPr>
        <w:t>一</w:t>
      </w:r>
      <w:r>
        <w:rPr>
          <w:rFonts w:ascii="Times New Roman" w:hAnsi="Times New Roman" w:cs="Times New Roman" w:eastAsiaTheme="minorEastAsia"/>
          <w:b/>
          <w:sz w:val="24"/>
        </w:rPr>
        <w:t>、</w:t>
      </w:r>
      <w:r>
        <w:rPr>
          <w:rFonts w:ascii="Times New Roman" w:hAnsi="Times New Roman" w:cs="Times New Roman" w:eastAsiaTheme="minorEastAsia"/>
          <w:b/>
          <w:bCs/>
          <w:sz w:val="24"/>
          <w:szCs w:val="18"/>
        </w:rPr>
        <w:t>项目名称及内容</w:t>
      </w:r>
    </w:p>
    <w:p w14:paraId="5066DBCE">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w:t>
      </w:r>
      <w:r>
        <w:rPr>
          <w:rFonts w:ascii="Times New Roman" w:hAnsi="Times New Roman" w:cs="Times New Roman" w:eastAsiaTheme="minorEastAsia"/>
          <w:b/>
          <w:szCs w:val="21"/>
        </w:rPr>
        <w:t>.</w:t>
      </w:r>
      <w:r>
        <w:rPr>
          <w:rFonts w:ascii="Times New Roman" w:hAnsi="Times New Roman" w:cs="Times New Roman" w:eastAsiaTheme="minorEastAsia"/>
          <w:szCs w:val="21"/>
        </w:rPr>
        <w:t>项目编号：</w:t>
      </w:r>
      <w:r>
        <w:rPr>
          <w:rFonts w:hint="eastAsia" w:ascii="Times New Roman" w:hAnsi="Times New Roman" w:cs="Times New Roman" w:eastAsiaTheme="minorEastAsia"/>
          <w:szCs w:val="21"/>
          <w:u w:val="single"/>
        </w:rPr>
        <w:t>2024WLBLZB000</w:t>
      </w:r>
      <w:r>
        <w:rPr>
          <w:rFonts w:hint="eastAsia" w:ascii="Times New Roman" w:hAnsi="Times New Roman" w:cs="Times New Roman"/>
          <w:szCs w:val="21"/>
          <w:u w:val="single"/>
          <w:lang w:val="en-US" w:eastAsia="zh-CN"/>
        </w:rPr>
        <w:t>50</w:t>
      </w:r>
      <w:r>
        <w:rPr>
          <w:rFonts w:hint="eastAsia" w:ascii="Times New Roman" w:hAnsi="Times New Roman" w:cs="Times New Roman" w:eastAsiaTheme="minorEastAsia"/>
          <w:szCs w:val="21"/>
          <w:u w:val="single"/>
        </w:rPr>
        <w:t>号</w:t>
      </w:r>
    </w:p>
    <w:p w14:paraId="2DC91D0B">
      <w:pPr>
        <w:autoSpaceDE w:val="0"/>
        <w:autoSpaceDN w:val="0"/>
        <w:adjustRightInd w:val="0"/>
        <w:spacing w:line="360" w:lineRule="auto"/>
        <w:ind w:firstLine="382" w:firstLineChars="182"/>
        <w:jc w:val="left"/>
        <w:rPr>
          <w:rFonts w:hint="eastAsia" w:ascii="Times New Roman" w:hAnsi="Times New Roman" w:cs="Times New Roman" w:eastAsiaTheme="minorEastAsia"/>
          <w:bCs/>
          <w:color w:val="000000"/>
          <w:szCs w:val="21"/>
          <w:u w:val="single"/>
        </w:rPr>
      </w:pPr>
      <w:r>
        <w:rPr>
          <w:rFonts w:ascii="Times New Roman" w:hAnsi="Times New Roman" w:cs="Times New Roman" w:eastAsiaTheme="minorEastAsia"/>
          <w:szCs w:val="21"/>
        </w:rPr>
        <w:t>2</w:t>
      </w:r>
      <w:r>
        <w:rPr>
          <w:rFonts w:ascii="Times New Roman" w:hAnsi="Times New Roman" w:cs="Times New Roman" w:eastAsiaTheme="minorEastAsia"/>
          <w:b/>
          <w:szCs w:val="21"/>
        </w:rPr>
        <w:t>.</w:t>
      </w:r>
      <w:r>
        <w:rPr>
          <w:rFonts w:ascii="Times New Roman" w:hAnsi="Times New Roman" w:cs="Times New Roman" w:eastAsiaTheme="minorEastAsia"/>
          <w:szCs w:val="21"/>
        </w:rPr>
        <w:t>项目名称：</w:t>
      </w:r>
      <w:r>
        <w:rPr>
          <w:rFonts w:hint="eastAsia" w:ascii="Times New Roman" w:hAnsi="Times New Roman" w:cs="Times New Roman"/>
          <w:bCs/>
          <w:color w:val="000000"/>
          <w:sz w:val="21"/>
          <w:szCs w:val="21"/>
          <w:u w:val="single"/>
          <w:lang w:val="en-US" w:eastAsia="zh-CN"/>
        </w:rPr>
        <w:t>文旅集团2024年下半年集中处置资产评估</w:t>
      </w:r>
    </w:p>
    <w:p w14:paraId="14F093DC">
      <w:pPr>
        <w:autoSpaceDE w:val="0"/>
        <w:autoSpaceDN w:val="0"/>
        <w:adjustRightInd w:val="0"/>
        <w:spacing w:line="360" w:lineRule="auto"/>
        <w:ind w:firstLine="420" w:firstLineChars="200"/>
        <w:jc w:val="left"/>
        <w:rPr>
          <w:rFonts w:ascii="Times New Roman" w:hAnsi="Times New Roman" w:cs="Times New Roman" w:eastAsiaTheme="minorEastAsia"/>
          <w:szCs w:val="21"/>
        </w:rPr>
      </w:pPr>
      <w:r>
        <w:rPr>
          <w:rFonts w:ascii="Times New Roman" w:hAnsi="Times New Roman" w:cs="Times New Roman" w:eastAsiaTheme="minorEastAsia"/>
          <w:szCs w:val="21"/>
        </w:rPr>
        <w:t>3</w:t>
      </w:r>
      <w:r>
        <w:rPr>
          <w:rFonts w:ascii="Times New Roman" w:hAnsi="Times New Roman" w:cs="Times New Roman" w:eastAsiaTheme="minorEastAsia"/>
          <w:b/>
          <w:szCs w:val="21"/>
        </w:rPr>
        <w:t>.</w:t>
      </w:r>
      <w:r>
        <w:rPr>
          <w:rFonts w:ascii="Times New Roman" w:hAnsi="Times New Roman" w:cs="Times New Roman" w:eastAsiaTheme="minorEastAsia"/>
          <w:szCs w:val="21"/>
        </w:rPr>
        <w:t>项目地点：</w:t>
      </w:r>
      <w:r>
        <w:rPr>
          <w:rFonts w:ascii="Times New Roman" w:hAnsi="Times New Roman" w:cs="Times New Roman" w:eastAsiaTheme="minorEastAsia"/>
          <w:szCs w:val="21"/>
          <w:u w:val="single"/>
        </w:rPr>
        <w:t xml:space="preserve"> </w:t>
      </w:r>
      <w:r>
        <w:rPr>
          <w:rFonts w:hint="eastAsia" w:ascii="Times New Roman" w:hAnsi="Times New Roman" w:cs="Times New Roman"/>
          <w:bCs/>
          <w:color w:val="000000"/>
          <w:sz w:val="21"/>
          <w:szCs w:val="21"/>
          <w:u w:val="single"/>
          <w:lang w:val="en-US" w:eastAsia="zh-CN"/>
        </w:rPr>
        <w:t>市政务大楼、投资大厦、天鹅湖畔综合楼、第二办公区、民主党派楼</w:t>
      </w:r>
      <w:r>
        <w:rPr>
          <w:rFonts w:ascii="Times New Roman" w:hAnsi="Times New Roman" w:cs="Times New Roman"/>
          <w:bCs/>
          <w:color w:val="000000"/>
          <w:sz w:val="21"/>
          <w:szCs w:val="21"/>
          <w:u w:val="single"/>
        </w:rPr>
        <w:t xml:space="preserve"> </w:t>
      </w:r>
      <w:r>
        <w:rPr>
          <w:rFonts w:ascii="Times New Roman" w:hAnsi="Times New Roman" w:cs="Times New Roman" w:eastAsiaTheme="minorEastAsia"/>
          <w:szCs w:val="21"/>
          <w:u w:val="single"/>
        </w:rPr>
        <w:t xml:space="preserve"> </w:t>
      </w:r>
    </w:p>
    <w:p w14:paraId="2AECAFA0">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4</w:t>
      </w:r>
      <w:r>
        <w:rPr>
          <w:rFonts w:ascii="Times New Roman" w:hAnsi="Times New Roman" w:cs="Times New Roman" w:eastAsiaTheme="minorEastAsia"/>
          <w:b/>
          <w:szCs w:val="21"/>
        </w:rPr>
        <w:t>.</w:t>
      </w:r>
      <w:r>
        <w:rPr>
          <w:rFonts w:ascii="Times New Roman" w:hAnsi="Times New Roman" w:cs="Times New Roman" w:eastAsiaTheme="minorEastAsia"/>
          <w:szCs w:val="21"/>
        </w:rPr>
        <w:t>项目单位：</w:t>
      </w:r>
      <w:r>
        <w:rPr>
          <w:rFonts w:hint="eastAsia" w:asciiTheme="majorEastAsia" w:hAnsiTheme="majorEastAsia" w:eastAsiaTheme="majorEastAsia" w:cstheme="majorEastAsia"/>
          <w:sz w:val="21"/>
          <w:szCs w:val="21"/>
          <w:u w:val="single"/>
          <w:lang w:val="en-US" w:eastAsia="zh-CN"/>
        </w:rPr>
        <w:t>合肥文旅博览集团有限公司</w:t>
      </w:r>
    </w:p>
    <w:p w14:paraId="5CD4DC66">
      <w:pPr>
        <w:spacing w:line="360" w:lineRule="auto"/>
        <w:ind w:firstLine="420" w:firstLineChars="200"/>
        <w:rPr>
          <w:rFonts w:hint="default" w:ascii="Times New Roman" w:hAnsi="Times New Roman" w:cs="Times New Roman" w:eastAsiaTheme="minorEastAsia"/>
          <w:szCs w:val="21"/>
          <w:u w:val="single"/>
          <w:lang w:val="en-US" w:eastAsia="zh-CN"/>
        </w:rPr>
      </w:pPr>
      <w:r>
        <w:rPr>
          <w:rFonts w:ascii="Times New Roman" w:hAnsi="Times New Roman" w:cs="Times New Roman" w:eastAsiaTheme="minorEastAsia"/>
          <w:szCs w:val="21"/>
        </w:rPr>
        <w:t>5</w:t>
      </w:r>
      <w:r>
        <w:rPr>
          <w:rFonts w:ascii="Times New Roman" w:hAnsi="Times New Roman" w:cs="Times New Roman" w:eastAsiaTheme="minorEastAsia"/>
          <w:b/>
          <w:szCs w:val="21"/>
        </w:rPr>
        <w:t>.</w:t>
      </w:r>
      <w:r>
        <w:rPr>
          <w:rFonts w:ascii="Times New Roman" w:hAnsi="Times New Roman" w:cs="Times New Roman" w:eastAsiaTheme="minorEastAsia"/>
          <w:szCs w:val="21"/>
        </w:rPr>
        <w:t>项目范围：</w:t>
      </w:r>
      <w:r>
        <w:rPr>
          <w:rFonts w:hint="eastAsia" w:ascii="Times New Roman" w:hAnsi="Times New Roman" w:cs="Times New Roman"/>
          <w:szCs w:val="21"/>
          <w:u w:val="single"/>
          <w:lang w:val="en-US" w:eastAsia="zh-CN"/>
        </w:rPr>
        <w:t>详见招标需求</w:t>
      </w:r>
    </w:p>
    <w:p w14:paraId="7190CF4D">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6</w:t>
      </w:r>
      <w:r>
        <w:rPr>
          <w:rFonts w:ascii="Times New Roman" w:hAnsi="Times New Roman" w:cs="Times New Roman" w:eastAsiaTheme="minorEastAsia"/>
          <w:b/>
          <w:szCs w:val="21"/>
        </w:rPr>
        <w:t>.</w:t>
      </w:r>
      <w:r>
        <w:rPr>
          <w:rFonts w:ascii="Times New Roman" w:hAnsi="Times New Roman" w:cs="Times New Roman" w:eastAsiaTheme="minorEastAsia"/>
          <w:szCs w:val="21"/>
        </w:rPr>
        <w:t>资金来源：</w:t>
      </w:r>
      <w:r>
        <w:rPr>
          <w:rFonts w:ascii="Times New Roman" w:hAnsi="Times New Roman" w:cs="Times New Roman" w:eastAsiaTheme="minorEastAsia"/>
          <w:szCs w:val="21"/>
          <w:u w:val="single"/>
        </w:rPr>
        <w:t xml:space="preserve">  </w:t>
      </w:r>
      <w:r>
        <w:rPr>
          <w:rFonts w:hint="eastAsia" w:ascii="Times New Roman" w:hAnsi="Times New Roman" w:cs="Times New Roman"/>
          <w:szCs w:val="21"/>
          <w:u w:val="single"/>
          <w:lang w:val="en-US" w:eastAsia="zh-CN"/>
        </w:rPr>
        <w:t>自筹</w:t>
      </w:r>
      <w:r>
        <w:rPr>
          <w:rFonts w:ascii="Times New Roman" w:hAnsi="Times New Roman" w:cs="Times New Roman" w:eastAsiaTheme="minorEastAsia"/>
          <w:szCs w:val="21"/>
          <w:u w:val="single"/>
        </w:rPr>
        <w:t xml:space="preserve">    </w:t>
      </w:r>
    </w:p>
    <w:p w14:paraId="0FF5921F">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7</w:t>
      </w:r>
      <w:r>
        <w:rPr>
          <w:rFonts w:ascii="Times New Roman" w:hAnsi="Times New Roman" w:cs="Times New Roman" w:eastAsiaTheme="minorEastAsia"/>
          <w:b/>
          <w:szCs w:val="21"/>
        </w:rPr>
        <w:t>.</w:t>
      </w:r>
      <w:r>
        <w:rPr>
          <w:rFonts w:ascii="Times New Roman" w:hAnsi="Times New Roman" w:cs="Times New Roman" w:eastAsiaTheme="minorEastAsia"/>
          <w:szCs w:val="21"/>
        </w:rPr>
        <w:t>项目预算：</w:t>
      </w:r>
      <w:r>
        <w:rPr>
          <w:rFonts w:ascii="Times New Roman" w:hAnsi="Times New Roman" w:cs="Times New Roman" w:eastAsiaTheme="minorEastAsia"/>
          <w:szCs w:val="21"/>
          <w:u w:val="single"/>
        </w:rPr>
        <w:t xml:space="preserve">  </w:t>
      </w:r>
      <w:r>
        <w:rPr>
          <w:rFonts w:hint="eastAsia" w:ascii="Times New Roman" w:hAnsi="Times New Roman" w:cs="Times New Roman"/>
          <w:szCs w:val="21"/>
          <w:u w:val="single"/>
          <w:lang w:val="en-US" w:eastAsia="zh-CN"/>
        </w:rPr>
        <w:t>50000元</w:t>
      </w:r>
      <w:r>
        <w:rPr>
          <w:rFonts w:ascii="Times New Roman" w:hAnsi="Times New Roman" w:cs="Times New Roman" w:eastAsiaTheme="minorEastAsia"/>
          <w:szCs w:val="21"/>
          <w:u w:val="single"/>
        </w:rPr>
        <w:t xml:space="preserve">    </w:t>
      </w:r>
    </w:p>
    <w:p w14:paraId="5A044508">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8</w:t>
      </w:r>
      <w:r>
        <w:rPr>
          <w:rFonts w:ascii="Times New Roman" w:hAnsi="Times New Roman" w:cs="Times New Roman" w:eastAsiaTheme="minorEastAsia"/>
          <w:b/>
          <w:szCs w:val="21"/>
        </w:rPr>
        <w:t>.</w:t>
      </w:r>
      <w:r>
        <w:rPr>
          <w:rFonts w:ascii="Times New Roman" w:hAnsi="Times New Roman" w:cs="Times New Roman" w:eastAsiaTheme="minorEastAsia"/>
          <w:szCs w:val="21"/>
        </w:rPr>
        <w:t>项目类别：</w:t>
      </w:r>
      <w:r>
        <w:rPr>
          <w:rFonts w:ascii="Times New Roman" w:hAnsi="Times New Roman" w:cs="Times New Roman" w:eastAsiaTheme="minorEastAsia"/>
          <w:szCs w:val="21"/>
          <w:u w:val="single"/>
        </w:rPr>
        <w:t xml:space="preserve"> </w:t>
      </w:r>
      <w:r>
        <w:rPr>
          <w:rFonts w:hint="eastAsia" w:ascii="Times New Roman" w:hAnsi="Times New Roman" w:cs="Times New Roman"/>
          <w:szCs w:val="21"/>
          <w:u w:val="single"/>
          <w:lang w:val="en-US" w:eastAsia="zh-CN"/>
        </w:rPr>
        <w:t>服务类</w:t>
      </w:r>
      <w:r>
        <w:rPr>
          <w:rFonts w:ascii="Times New Roman" w:hAnsi="Times New Roman" w:cs="Times New Roman" w:eastAsiaTheme="minorEastAsia"/>
          <w:szCs w:val="21"/>
          <w:u w:val="single"/>
        </w:rPr>
        <w:t xml:space="preserve"> </w:t>
      </w:r>
    </w:p>
    <w:p w14:paraId="035D41A4">
      <w:pPr>
        <w:spacing w:line="360" w:lineRule="auto"/>
        <w:rPr>
          <w:rFonts w:ascii="Times New Roman" w:hAnsi="Times New Roman" w:cs="Times New Roman" w:eastAsiaTheme="minorEastAsia"/>
          <w:b/>
          <w:bCs/>
          <w:sz w:val="24"/>
          <w:szCs w:val="18"/>
        </w:rPr>
      </w:pPr>
      <w:r>
        <w:rPr>
          <w:rFonts w:ascii="Times New Roman" w:hAnsi="Times New Roman" w:cs="Times New Roman" w:eastAsiaTheme="minorEastAsia"/>
          <w:b/>
          <w:bCs/>
          <w:sz w:val="24"/>
          <w:szCs w:val="18"/>
        </w:rPr>
        <w:t>二</w:t>
      </w:r>
      <w:r>
        <w:rPr>
          <w:rFonts w:ascii="Times New Roman" w:hAnsi="Times New Roman" w:cs="Times New Roman" w:eastAsiaTheme="minorEastAsia"/>
          <w:b/>
          <w:sz w:val="24"/>
        </w:rPr>
        <w:t>、</w:t>
      </w:r>
      <w:r>
        <w:rPr>
          <w:rFonts w:ascii="Times New Roman" w:hAnsi="Times New Roman" w:cs="Times New Roman" w:eastAsiaTheme="minorEastAsia"/>
          <w:b/>
          <w:bCs/>
          <w:sz w:val="24"/>
          <w:szCs w:val="18"/>
        </w:rPr>
        <w:t>投标人资格</w:t>
      </w:r>
    </w:p>
    <w:p w14:paraId="65EA4B82">
      <w:pPr>
        <w:spacing w:line="360" w:lineRule="auto"/>
        <w:ind w:firstLine="420" w:firstLineChars="200"/>
        <w:rPr>
          <w:rFonts w:ascii="Times New Roman" w:hAnsi="Times New Roman" w:cs="Times New Roman" w:eastAsiaTheme="majorEastAsia"/>
          <w:szCs w:val="21"/>
        </w:rPr>
      </w:pPr>
      <w:r>
        <w:rPr>
          <w:rFonts w:ascii="Times New Roman" w:hAnsi="Times New Roman" w:cs="Times New Roman" w:eastAsiaTheme="majorEastAsia"/>
          <w:szCs w:val="21"/>
        </w:rPr>
        <w:t>1.投标人具有独立承担民事责任的能力；</w:t>
      </w:r>
    </w:p>
    <w:p w14:paraId="526E1FAB">
      <w:pPr>
        <w:spacing w:line="360" w:lineRule="auto"/>
        <w:ind w:firstLine="420" w:firstLineChars="200"/>
        <w:rPr>
          <w:rFonts w:hint="eastAsia" w:asciiTheme="majorEastAsia" w:hAnsiTheme="majorEastAsia" w:eastAsiaTheme="majorEastAsia" w:cstheme="majorEastAsia"/>
          <w:sz w:val="21"/>
          <w:szCs w:val="21"/>
          <w:lang w:val="en-US" w:eastAsia="zh-CN"/>
        </w:rPr>
      </w:pPr>
      <w:r>
        <w:rPr>
          <w:rFonts w:ascii="Times New Roman" w:hAnsi="Times New Roman" w:cs="Times New Roman" w:eastAsiaTheme="majorEastAsia"/>
          <w:szCs w:val="21"/>
        </w:rPr>
        <w:t>2.投标人资质要求：</w:t>
      </w:r>
      <w:r>
        <w:rPr>
          <w:rFonts w:hint="eastAsia" w:asciiTheme="majorEastAsia" w:hAnsiTheme="majorEastAsia" w:eastAsiaTheme="majorEastAsia" w:cstheme="majorEastAsia"/>
          <w:sz w:val="21"/>
          <w:szCs w:val="21"/>
          <w:lang w:val="en-US" w:eastAsia="zh-CN"/>
        </w:rPr>
        <w:t>投标人为合肥市建设投资控股（集团）有限公司资产评估备选库单位（资产类）。</w:t>
      </w:r>
    </w:p>
    <w:p w14:paraId="7EA5FB55">
      <w:pPr>
        <w:spacing w:line="360" w:lineRule="auto"/>
        <w:ind w:firstLine="420" w:firstLineChars="200"/>
        <w:rPr>
          <w:color w:val="auto"/>
        </w:rPr>
      </w:pPr>
      <w:r>
        <w:rPr>
          <w:rFonts w:hint="eastAsia" w:asciiTheme="majorEastAsia" w:hAnsiTheme="majorEastAsia" w:eastAsiaTheme="majorEastAsia" w:cstheme="majorEastAsia"/>
          <w:color w:val="auto"/>
          <w:sz w:val="21"/>
          <w:szCs w:val="21"/>
          <w:lang w:val="en-US" w:eastAsia="zh-CN"/>
        </w:rPr>
        <w:t>3</w:t>
      </w:r>
      <w:r>
        <w:rPr>
          <w:rFonts w:hint="eastAsia" w:asciiTheme="majorEastAsia" w:hAnsiTheme="majorEastAsia" w:eastAsiaTheme="majorEastAsia" w:cstheme="majorEastAsia"/>
          <w:color w:val="auto"/>
          <w:sz w:val="21"/>
          <w:szCs w:val="21"/>
        </w:rPr>
        <w:t>.本项目不接受联合体投标。</w:t>
      </w:r>
    </w:p>
    <w:p w14:paraId="714850E1">
      <w:pPr>
        <w:spacing w:line="360" w:lineRule="auto"/>
        <w:rPr>
          <w:rFonts w:hint="eastAsia" w:ascii="Times New Roman" w:hAnsi="Times New Roman" w:cs="Times New Roman" w:eastAsiaTheme="minorEastAsia"/>
          <w:b/>
          <w:bCs/>
          <w:color w:val="auto"/>
          <w:sz w:val="24"/>
          <w:szCs w:val="18"/>
          <w:lang w:val="en-US" w:eastAsia="zh-CN"/>
        </w:rPr>
      </w:pPr>
      <w:r>
        <w:rPr>
          <w:rFonts w:ascii="Times New Roman" w:hAnsi="Times New Roman" w:cs="Times New Roman" w:eastAsiaTheme="minorEastAsia"/>
          <w:b/>
          <w:bCs/>
          <w:color w:val="auto"/>
          <w:sz w:val="24"/>
          <w:szCs w:val="18"/>
        </w:rPr>
        <w:t>三</w:t>
      </w:r>
      <w:r>
        <w:rPr>
          <w:rFonts w:ascii="Times New Roman" w:hAnsi="Times New Roman" w:cs="Times New Roman" w:eastAsiaTheme="minorEastAsia"/>
          <w:b/>
          <w:color w:val="auto"/>
          <w:sz w:val="24"/>
        </w:rPr>
        <w:t>、</w:t>
      </w:r>
      <w:r>
        <w:rPr>
          <w:rFonts w:ascii="Times New Roman" w:hAnsi="Times New Roman" w:cs="Times New Roman" w:eastAsiaTheme="minorEastAsia"/>
          <w:b/>
          <w:bCs/>
          <w:color w:val="auto"/>
          <w:sz w:val="24"/>
          <w:szCs w:val="18"/>
        </w:rPr>
        <w:t>询价文件的获取</w:t>
      </w:r>
      <w:r>
        <w:rPr>
          <w:rFonts w:hint="eastAsia" w:ascii="Times New Roman" w:hAnsi="Times New Roman" w:cs="Times New Roman" w:eastAsiaTheme="minorEastAsia"/>
          <w:b/>
          <w:bCs/>
          <w:color w:val="auto"/>
          <w:sz w:val="24"/>
          <w:szCs w:val="18"/>
          <w:lang w:val="en-US" w:eastAsia="zh-CN"/>
        </w:rPr>
        <w:t>及报名</w:t>
      </w:r>
    </w:p>
    <w:p w14:paraId="1B812BD1">
      <w:pPr>
        <w:widowControl/>
        <w:spacing w:line="500" w:lineRule="exact"/>
        <w:ind w:firstLine="420" w:firstLineChars="200"/>
        <w:jc w:val="left"/>
        <w:rPr>
          <w:rFonts w:ascii="Times New Roman" w:hAnsi="Times New Roman" w:eastAsia="宋体" w:cs="Times New Roman"/>
          <w:bCs/>
          <w:snapToGrid w:val="0"/>
          <w:color w:val="auto"/>
        </w:rPr>
      </w:pPr>
      <w:r>
        <w:rPr>
          <w:rFonts w:ascii="Times New Roman" w:hAnsi="Times New Roman" w:cs="Times New Roman" w:eastAsiaTheme="majorEastAsia"/>
          <w:color w:val="auto"/>
          <w:szCs w:val="21"/>
        </w:rPr>
        <w:t>1.</w:t>
      </w:r>
      <w:r>
        <w:rPr>
          <w:rFonts w:hint="eastAsia" w:ascii="Times New Roman" w:hAnsi="Times New Roman" w:cs="Times New Roman" w:eastAsiaTheme="majorEastAsia"/>
          <w:color w:val="auto"/>
          <w:szCs w:val="21"/>
          <w:lang w:val="en-US" w:eastAsia="zh-CN"/>
        </w:rPr>
        <w:t>报名</w:t>
      </w:r>
      <w:r>
        <w:rPr>
          <w:rFonts w:ascii="Times New Roman" w:hAnsi="Times New Roman" w:cs="Times New Roman" w:eastAsiaTheme="majorEastAsia"/>
          <w:color w:val="auto"/>
          <w:szCs w:val="21"/>
        </w:rPr>
        <w:t>时间：</w:t>
      </w:r>
      <w:r>
        <w:rPr>
          <w:rFonts w:ascii="Times New Roman" w:hAnsi="Times New Roman" w:eastAsia="宋体" w:cs="Times New Roman"/>
          <w:bCs/>
          <w:snapToGrid w:val="0"/>
          <w:color w:val="auto"/>
          <w:kern w:val="0"/>
          <w:szCs w:val="21"/>
          <w:u w:val="single"/>
        </w:rPr>
        <w:t xml:space="preserve"> </w:t>
      </w:r>
      <w:r>
        <w:rPr>
          <w:rFonts w:hint="eastAsia" w:ascii="Times New Roman" w:hAnsi="Times New Roman" w:eastAsia="宋体" w:cs="Times New Roman"/>
          <w:bCs/>
          <w:snapToGrid w:val="0"/>
          <w:color w:val="auto"/>
          <w:kern w:val="0"/>
          <w:szCs w:val="21"/>
          <w:u w:val="single"/>
          <w:lang w:val="en-US" w:eastAsia="zh-CN"/>
        </w:rPr>
        <w:t>2025</w:t>
      </w:r>
      <w:r>
        <w:rPr>
          <w:rFonts w:ascii="Times New Roman" w:hAnsi="Times New Roman" w:eastAsia="宋体" w:cs="Times New Roman"/>
          <w:bCs/>
          <w:snapToGrid w:val="0"/>
          <w:color w:val="auto"/>
          <w:kern w:val="0"/>
          <w:szCs w:val="21"/>
          <w:u w:val="single"/>
        </w:rPr>
        <w:t xml:space="preserve">  </w:t>
      </w:r>
      <w:r>
        <w:rPr>
          <w:rFonts w:ascii="Times New Roman" w:hAnsi="Times New Roman" w:eastAsia="宋体" w:cs="Times New Roman"/>
          <w:bCs/>
          <w:snapToGrid w:val="0"/>
          <w:color w:val="auto"/>
        </w:rPr>
        <w:t>年</w:t>
      </w:r>
      <w:r>
        <w:rPr>
          <w:rFonts w:ascii="Times New Roman" w:hAnsi="Times New Roman" w:eastAsia="宋体" w:cs="Times New Roman"/>
          <w:bCs/>
          <w:snapToGrid w:val="0"/>
          <w:color w:val="auto"/>
          <w:kern w:val="0"/>
          <w:szCs w:val="21"/>
          <w:u w:val="single"/>
        </w:rPr>
        <w:t xml:space="preserve"> </w:t>
      </w:r>
      <w:r>
        <w:rPr>
          <w:rFonts w:hint="eastAsia" w:ascii="Times New Roman" w:hAnsi="Times New Roman" w:eastAsia="宋体" w:cs="Times New Roman"/>
          <w:bCs/>
          <w:snapToGrid w:val="0"/>
          <w:color w:val="auto"/>
          <w:kern w:val="0"/>
          <w:szCs w:val="21"/>
          <w:u w:val="single"/>
          <w:lang w:val="en-US" w:eastAsia="zh-CN"/>
        </w:rPr>
        <w:t>1</w:t>
      </w:r>
      <w:r>
        <w:rPr>
          <w:rFonts w:ascii="Times New Roman" w:hAnsi="Times New Roman" w:eastAsia="宋体" w:cs="Times New Roman"/>
          <w:bCs/>
          <w:snapToGrid w:val="0"/>
          <w:color w:val="auto"/>
        </w:rPr>
        <w:t>月</w:t>
      </w:r>
      <w:r>
        <w:rPr>
          <w:rFonts w:ascii="Times New Roman" w:hAnsi="Times New Roman" w:eastAsia="宋体" w:cs="Times New Roman"/>
          <w:bCs/>
          <w:snapToGrid w:val="0"/>
          <w:color w:val="auto"/>
          <w:kern w:val="0"/>
          <w:szCs w:val="21"/>
          <w:u w:val="single"/>
        </w:rPr>
        <w:t xml:space="preserve">  </w:t>
      </w:r>
      <w:r>
        <w:rPr>
          <w:rFonts w:hint="eastAsia" w:ascii="Times New Roman" w:hAnsi="Times New Roman" w:eastAsia="宋体" w:cs="Times New Roman"/>
          <w:bCs/>
          <w:snapToGrid w:val="0"/>
          <w:color w:val="auto"/>
          <w:kern w:val="0"/>
          <w:szCs w:val="21"/>
          <w:u w:val="single"/>
          <w:lang w:val="en-US" w:eastAsia="zh-CN"/>
        </w:rPr>
        <w:t>8</w:t>
      </w:r>
      <w:r>
        <w:rPr>
          <w:rFonts w:ascii="Times New Roman" w:hAnsi="Times New Roman" w:eastAsia="宋体" w:cs="Times New Roman"/>
          <w:bCs/>
          <w:snapToGrid w:val="0"/>
          <w:color w:val="auto"/>
          <w:kern w:val="0"/>
          <w:szCs w:val="21"/>
          <w:u w:val="single"/>
        </w:rPr>
        <w:t xml:space="preserve"> </w:t>
      </w:r>
      <w:r>
        <w:rPr>
          <w:rFonts w:ascii="Times New Roman" w:hAnsi="Times New Roman" w:eastAsia="宋体" w:cs="Times New Roman"/>
          <w:bCs/>
          <w:snapToGrid w:val="0"/>
          <w:color w:val="auto"/>
        </w:rPr>
        <w:t>日至</w:t>
      </w:r>
      <w:r>
        <w:rPr>
          <w:rFonts w:ascii="Times New Roman" w:hAnsi="Times New Roman" w:eastAsia="宋体" w:cs="Times New Roman"/>
          <w:bCs/>
          <w:snapToGrid w:val="0"/>
          <w:color w:val="auto"/>
          <w:kern w:val="0"/>
          <w:szCs w:val="21"/>
          <w:u w:val="single"/>
        </w:rPr>
        <w:t xml:space="preserve"> </w:t>
      </w:r>
      <w:r>
        <w:rPr>
          <w:rFonts w:hint="eastAsia" w:ascii="Times New Roman" w:hAnsi="Times New Roman" w:eastAsia="宋体" w:cs="Times New Roman"/>
          <w:bCs/>
          <w:snapToGrid w:val="0"/>
          <w:color w:val="auto"/>
          <w:kern w:val="0"/>
          <w:szCs w:val="21"/>
          <w:u w:val="single"/>
          <w:lang w:val="en-US" w:eastAsia="zh-CN"/>
        </w:rPr>
        <w:t>2025</w:t>
      </w:r>
      <w:r>
        <w:rPr>
          <w:rFonts w:ascii="Times New Roman" w:hAnsi="Times New Roman" w:eastAsia="宋体" w:cs="Times New Roman"/>
          <w:bCs/>
          <w:snapToGrid w:val="0"/>
          <w:color w:val="auto"/>
          <w:kern w:val="0"/>
          <w:szCs w:val="21"/>
          <w:u w:val="single"/>
        </w:rPr>
        <w:t xml:space="preserve">  </w:t>
      </w:r>
      <w:r>
        <w:rPr>
          <w:rFonts w:ascii="Times New Roman" w:hAnsi="Times New Roman" w:eastAsia="宋体" w:cs="Times New Roman"/>
          <w:bCs/>
          <w:snapToGrid w:val="0"/>
          <w:color w:val="auto"/>
        </w:rPr>
        <w:t>年</w:t>
      </w:r>
      <w:r>
        <w:rPr>
          <w:rFonts w:hint="eastAsia" w:ascii="Times New Roman" w:hAnsi="Times New Roman" w:eastAsia="宋体" w:cs="Times New Roman"/>
          <w:bCs/>
          <w:snapToGrid w:val="0"/>
          <w:color w:val="auto"/>
          <w:lang w:val="en-US" w:eastAsia="zh-CN"/>
        </w:rPr>
        <w:t xml:space="preserve"> </w:t>
      </w:r>
      <w:r>
        <w:rPr>
          <w:rFonts w:hint="eastAsia" w:ascii="Times New Roman" w:hAnsi="Times New Roman" w:eastAsia="宋体" w:cs="Times New Roman"/>
          <w:bCs/>
          <w:snapToGrid w:val="0"/>
          <w:color w:val="auto"/>
          <w:kern w:val="0"/>
          <w:szCs w:val="21"/>
          <w:u w:val="single"/>
          <w:lang w:val="en-US" w:eastAsia="zh-CN"/>
        </w:rPr>
        <w:t>1</w:t>
      </w:r>
      <w:r>
        <w:rPr>
          <w:rFonts w:ascii="Times New Roman" w:hAnsi="Times New Roman" w:eastAsia="宋体" w:cs="Times New Roman"/>
          <w:bCs/>
          <w:snapToGrid w:val="0"/>
          <w:color w:val="auto"/>
          <w:kern w:val="0"/>
          <w:szCs w:val="21"/>
          <w:u w:val="single"/>
        </w:rPr>
        <w:t xml:space="preserve"> </w:t>
      </w:r>
      <w:r>
        <w:rPr>
          <w:rFonts w:ascii="Times New Roman" w:hAnsi="Times New Roman" w:eastAsia="宋体" w:cs="Times New Roman"/>
          <w:bCs/>
          <w:snapToGrid w:val="0"/>
          <w:color w:val="auto"/>
        </w:rPr>
        <w:t>月</w:t>
      </w:r>
      <w:r>
        <w:rPr>
          <w:rFonts w:ascii="Times New Roman" w:hAnsi="Times New Roman" w:eastAsia="宋体" w:cs="Times New Roman"/>
          <w:bCs/>
          <w:snapToGrid w:val="0"/>
          <w:color w:val="auto"/>
          <w:kern w:val="0"/>
          <w:szCs w:val="21"/>
          <w:u w:val="single"/>
        </w:rPr>
        <w:t xml:space="preserve"> </w:t>
      </w:r>
      <w:r>
        <w:rPr>
          <w:rFonts w:hint="eastAsia" w:ascii="Times New Roman" w:hAnsi="Times New Roman" w:eastAsia="宋体" w:cs="Times New Roman"/>
          <w:bCs/>
          <w:snapToGrid w:val="0"/>
          <w:color w:val="auto"/>
          <w:kern w:val="0"/>
          <w:szCs w:val="21"/>
          <w:u w:val="single"/>
          <w:lang w:val="en-US" w:eastAsia="zh-CN"/>
        </w:rPr>
        <w:t xml:space="preserve"> 10 </w:t>
      </w:r>
      <w:r>
        <w:rPr>
          <w:rFonts w:ascii="Times New Roman" w:hAnsi="Times New Roman" w:eastAsia="宋体" w:cs="Times New Roman"/>
          <w:bCs/>
          <w:snapToGrid w:val="0"/>
          <w:color w:val="auto"/>
          <w:kern w:val="0"/>
          <w:szCs w:val="21"/>
          <w:u w:val="single"/>
        </w:rPr>
        <w:t xml:space="preserve">  </w:t>
      </w:r>
      <w:r>
        <w:rPr>
          <w:rFonts w:ascii="Times New Roman" w:hAnsi="Times New Roman" w:eastAsia="宋体" w:cs="Times New Roman"/>
          <w:bCs/>
          <w:snapToGrid w:val="0"/>
          <w:color w:val="auto"/>
        </w:rPr>
        <w:t>日(北京时间)</w:t>
      </w:r>
    </w:p>
    <w:p w14:paraId="79E8BF8E">
      <w:pPr>
        <w:widowControl/>
        <w:wordWrap w:val="0"/>
        <w:spacing w:line="500" w:lineRule="exact"/>
        <w:ind w:firstLine="420" w:firstLineChars="200"/>
        <w:jc w:val="left"/>
        <w:rPr>
          <w:rFonts w:ascii="Times New Roman" w:hAnsi="Times New Roman" w:eastAsia="宋体" w:cs="Times New Roman"/>
          <w:bCs/>
          <w:snapToGrid w:val="0"/>
          <w:color w:val="auto"/>
        </w:rPr>
      </w:pPr>
      <w:r>
        <w:rPr>
          <w:rFonts w:ascii="Times New Roman" w:hAnsi="Times New Roman" w:cs="Times New Roman" w:eastAsiaTheme="majorEastAsia"/>
          <w:color w:val="auto"/>
          <w:szCs w:val="21"/>
        </w:rPr>
        <w:t>2.</w:t>
      </w:r>
      <w:r>
        <w:rPr>
          <w:rFonts w:hint="eastAsia" w:ascii="Times New Roman" w:hAnsi="Times New Roman" w:cs="Times New Roman" w:eastAsiaTheme="majorEastAsia"/>
          <w:color w:val="auto"/>
          <w:szCs w:val="21"/>
          <w:lang w:val="en-US" w:eastAsia="zh-CN"/>
        </w:rPr>
        <w:t>询价文件</w:t>
      </w:r>
      <w:r>
        <w:rPr>
          <w:rFonts w:ascii="Times New Roman" w:hAnsi="Times New Roman" w:cs="Times New Roman" w:eastAsiaTheme="majorEastAsia"/>
          <w:color w:val="auto"/>
          <w:szCs w:val="21"/>
        </w:rPr>
        <w:t>获取方式：</w:t>
      </w:r>
      <w:r>
        <w:rPr>
          <w:rFonts w:ascii="Times New Roman" w:hAnsi="Times New Roman" w:eastAsia="宋体" w:cs="Times New Roman"/>
          <w:bCs/>
          <w:snapToGrid w:val="0"/>
          <w:color w:val="auto"/>
        </w:rPr>
        <w:t>投标人登录合肥文旅博览集团有限公司网站（http://www.zwzcgl.com）下载询价文件</w:t>
      </w:r>
    </w:p>
    <w:p w14:paraId="23B035FD">
      <w:pPr>
        <w:widowControl/>
        <w:wordWrap w:val="0"/>
        <w:spacing w:line="500" w:lineRule="exact"/>
        <w:ind w:firstLine="420" w:firstLineChars="200"/>
        <w:jc w:val="left"/>
        <w:rPr>
          <w:rFonts w:ascii="Times New Roman" w:hAnsi="Times New Roman" w:cs="Times New Roman" w:eastAsiaTheme="majorEastAsia"/>
          <w:color w:val="auto"/>
          <w:szCs w:val="21"/>
        </w:rPr>
      </w:pPr>
      <w:r>
        <w:rPr>
          <w:rFonts w:ascii="Times New Roman" w:hAnsi="Times New Roman" w:cs="Times New Roman" w:eastAsiaTheme="majorEastAsia"/>
          <w:color w:val="auto"/>
          <w:szCs w:val="21"/>
        </w:rPr>
        <w:t>3.报名方法：投标人下载附件《投标报名信息表》并完整填写信息后在规定的报名日期内发送至邮箱：</w:t>
      </w:r>
      <w:r>
        <w:rPr>
          <w:rFonts w:ascii="Times New Roman" w:hAnsi="Times New Roman" w:cs="Times New Roman" w:eastAsiaTheme="majorEastAsia"/>
          <w:color w:val="auto"/>
          <w:szCs w:val="21"/>
        </w:rPr>
        <w:fldChar w:fldCharType="begin"/>
      </w:r>
      <w:r>
        <w:rPr>
          <w:rFonts w:ascii="Times New Roman" w:hAnsi="Times New Roman" w:cs="Times New Roman" w:eastAsiaTheme="majorEastAsia"/>
          <w:color w:val="auto"/>
          <w:szCs w:val="21"/>
        </w:rPr>
        <w:instrText xml:space="preserve"> HYPERLINK "mailto:******@qq.com" </w:instrText>
      </w:r>
      <w:r>
        <w:rPr>
          <w:rFonts w:ascii="Times New Roman" w:hAnsi="Times New Roman" w:cs="Times New Roman" w:eastAsiaTheme="majorEastAsia"/>
          <w:color w:val="auto"/>
          <w:szCs w:val="21"/>
        </w:rPr>
        <w:fldChar w:fldCharType="separate"/>
      </w:r>
      <w:r>
        <w:rPr>
          <w:rFonts w:hint="eastAsia" w:ascii="Times New Roman" w:hAnsi="Times New Roman" w:cs="Times New Roman" w:eastAsiaTheme="majorEastAsia"/>
          <w:color w:val="auto"/>
          <w:szCs w:val="21"/>
          <w:lang w:val="en-US" w:eastAsia="zh-CN"/>
        </w:rPr>
        <w:t>361923526</w:t>
      </w:r>
      <w:r>
        <w:rPr>
          <w:rFonts w:ascii="Times New Roman" w:hAnsi="Times New Roman" w:cs="Times New Roman" w:eastAsiaTheme="majorEastAsia"/>
          <w:color w:val="auto"/>
          <w:szCs w:val="21"/>
        </w:rPr>
        <w:t>@qq.com</w:t>
      </w:r>
      <w:r>
        <w:rPr>
          <w:rFonts w:ascii="Times New Roman" w:hAnsi="Times New Roman" w:cs="Times New Roman" w:eastAsiaTheme="majorEastAsia"/>
          <w:color w:val="auto"/>
          <w:szCs w:val="21"/>
        </w:rPr>
        <w:fldChar w:fldCharType="end"/>
      </w:r>
    </w:p>
    <w:p w14:paraId="1AAE4E0C">
      <w:pPr>
        <w:spacing w:line="360" w:lineRule="auto"/>
        <w:rPr>
          <w:rFonts w:ascii="Times New Roman" w:hAnsi="Times New Roman" w:cs="Times New Roman" w:eastAsiaTheme="minorEastAsia"/>
          <w:b/>
          <w:bCs/>
          <w:color w:val="auto"/>
          <w:sz w:val="24"/>
          <w:szCs w:val="18"/>
        </w:rPr>
      </w:pPr>
      <w:r>
        <w:rPr>
          <w:rFonts w:ascii="Times New Roman" w:hAnsi="Times New Roman" w:cs="Times New Roman" w:eastAsiaTheme="minorEastAsia"/>
          <w:b/>
          <w:bCs/>
          <w:color w:val="auto"/>
          <w:sz w:val="24"/>
          <w:szCs w:val="18"/>
        </w:rPr>
        <w:t>四</w:t>
      </w:r>
      <w:r>
        <w:rPr>
          <w:rFonts w:ascii="Times New Roman" w:hAnsi="Times New Roman" w:cs="Times New Roman" w:eastAsiaTheme="minorEastAsia"/>
          <w:b/>
          <w:color w:val="auto"/>
          <w:sz w:val="24"/>
        </w:rPr>
        <w:t>、</w:t>
      </w:r>
      <w:r>
        <w:rPr>
          <w:rFonts w:ascii="Times New Roman" w:hAnsi="Times New Roman" w:cs="Times New Roman" w:eastAsiaTheme="minorEastAsia"/>
          <w:b/>
          <w:bCs/>
          <w:color w:val="auto"/>
          <w:sz w:val="24"/>
          <w:szCs w:val="18"/>
        </w:rPr>
        <w:t>询价时间及地点</w:t>
      </w:r>
    </w:p>
    <w:p w14:paraId="2D78B022">
      <w:pPr>
        <w:spacing w:line="360" w:lineRule="auto"/>
        <w:ind w:firstLine="435"/>
        <w:rPr>
          <w:rFonts w:ascii="Times New Roman" w:hAnsi="Times New Roman" w:cs="Times New Roman" w:eastAsiaTheme="minorEastAsia"/>
          <w:color w:val="auto"/>
          <w:szCs w:val="15"/>
        </w:rPr>
      </w:pPr>
      <w:r>
        <w:rPr>
          <w:rFonts w:ascii="Times New Roman" w:hAnsi="Times New Roman" w:cs="Times New Roman" w:eastAsiaTheme="minorEastAsia"/>
          <w:color w:val="auto"/>
          <w:szCs w:val="15"/>
        </w:rPr>
        <w:t>1</w:t>
      </w:r>
      <w:r>
        <w:rPr>
          <w:rFonts w:ascii="Times New Roman" w:hAnsi="Times New Roman" w:cs="Times New Roman" w:eastAsiaTheme="minorEastAsia"/>
          <w:b/>
          <w:color w:val="auto"/>
          <w:szCs w:val="16"/>
        </w:rPr>
        <w:t>.</w:t>
      </w:r>
      <w:r>
        <w:rPr>
          <w:rFonts w:ascii="Times New Roman" w:hAnsi="Times New Roman" w:cs="Times New Roman" w:eastAsiaTheme="minorEastAsia"/>
          <w:color w:val="auto"/>
          <w:szCs w:val="15"/>
        </w:rPr>
        <w:t>询价时间：</w:t>
      </w:r>
      <w:r>
        <w:rPr>
          <w:rFonts w:ascii="Times New Roman" w:hAnsi="Times New Roman" w:eastAsia="宋体" w:cs="Times New Roman"/>
          <w:bCs/>
          <w:snapToGrid w:val="0"/>
          <w:color w:val="auto"/>
          <w:kern w:val="0"/>
          <w:sz w:val="18"/>
          <w:szCs w:val="18"/>
          <w:u w:val="single"/>
        </w:rPr>
        <w:t xml:space="preserve"> </w:t>
      </w:r>
      <w:r>
        <w:rPr>
          <w:rFonts w:hint="eastAsia" w:ascii="Times New Roman" w:hAnsi="Times New Roman" w:eastAsia="宋体" w:cs="Times New Roman"/>
          <w:bCs/>
          <w:snapToGrid w:val="0"/>
          <w:color w:val="auto"/>
          <w:kern w:val="0"/>
          <w:sz w:val="18"/>
          <w:szCs w:val="18"/>
          <w:u w:val="single"/>
          <w:lang w:val="en-US" w:eastAsia="zh-CN"/>
        </w:rPr>
        <w:t>2024</w:t>
      </w:r>
      <w:r>
        <w:rPr>
          <w:rFonts w:ascii="Times New Roman" w:hAnsi="Times New Roman" w:eastAsia="宋体" w:cs="Times New Roman"/>
          <w:bCs/>
          <w:snapToGrid w:val="0"/>
          <w:color w:val="auto"/>
          <w:kern w:val="0"/>
          <w:sz w:val="18"/>
          <w:szCs w:val="18"/>
          <w:u w:val="single"/>
        </w:rPr>
        <w:t xml:space="preserve">  </w:t>
      </w:r>
      <w:r>
        <w:rPr>
          <w:rFonts w:ascii="Times New Roman" w:hAnsi="Times New Roman" w:eastAsia="宋体" w:cs="Times New Roman"/>
          <w:bCs/>
          <w:snapToGrid w:val="0"/>
          <w:color w:val="auto"/>
          <w:sz w:val="18"/>
          <w:szCs w:val="16"/>
        </w:rPr>
        <w:t>年</w:t>
      </w:r>
      <w:r>
        <w:rPr>
          <w:rFonts w:ascii="Times New Roman" w:hAnsi="Times New Roman" w:eastAsia="宋体" w:cs="Times New Roman"/>
          <w:bCs/>
          <w:snapToGrid w:val="0"/>
          <w:color w:val="auto"/>
          <w:kern w:val="0"/>
          <w:sz w:val="18"/>
          <w:szCs w:val="18"/>
          <w:u w:val="single"/>
        </w:rPr>
        <w:t xml:space="preserve"> </w:t>
      </w:r>
      <w:r>
        <w:rPr>
          <w:rFonts w:hint="eastAsia" w:ascii="Times New Roman" w:hAnsi="Times New Roman" w:eastAsia="宋体" w:cs="Times New Roman"/>
          <w:bCs/>
          <w:snapToGrid w:val="0"/>
          <w:color w:val="auto"/>
          <w:kern w:val="0"/>
          <w:sz w:val="18"/>
          <w:szCs w:val="18"/>
          <w:u w:val="single"/>
          <w:lang w:val="en-US" w:eastAsia="zh-CN"/>
        </w:rPr>
        <w:t>1</w:t>
      </w:r>
      <w:r>
        <w:rPr>
          <w:rFonts w:ascii="Times New Roman" w:hAnsi="Times New Roman" w:eastAsia="宋体" w:cs="Times New Roman"/>
          <w:bCs/>
          <w:snapToGrid w:val="0"/>
          <w:color w:val="auto"/>
          <w:kern w:val="0"/>
          <w:sz w:val="18"/>
          <w:szCs w:val="18"/>
          <w:u w:val="single"/>
        </w:rPr>
        <w:t xml:space="preserve">  </w:t>
      </w:r>
      <w:r>
        <w:rPr>
          <w:rFonts w:ascii="Times New Roman" w:hAnsi="Times New Roman" w:eastAsia="宋体" w:cs="Times New Roman"/>
          <w:bCs/>
          <w:snapToGrid w:val="0"/>
          <w:color w:val="auto"/>
          <w:sz w:val="18"/>
          <w:szCs w:val="16"/>
        </w:rPr>
        <w:t>月</w:t>
      </w:r>
      <w:r>
        <w:rPr>
          <w:rFonts w:ascii="Times New Roman" w:hAnsi="Times New Roman" w:eastAsia="宋体" w:cs="Times New Roman"/>
          <w:bCs/>
          <w:snapToGrid w:val="0"/>
          <w:color w:val="auto"/>
          <w:kern w:val="0"/>
          <w:sz w:val="18"/>
          <w:szCs w:val="18"/>
          <w:u w:val="single"/>
        </w:rPr>
        <w:t xml:space="preserve">  </w:t>
      </w:r>
      <w:r>
        <w:rPr>
          <w:rFonts w:hint="eastAsia" w:ascii="Times New Roman" w:hAnsi="Times New Roman" w:eastAsia="宋体" w:cs="Times New Roman"/>
          <w:bCs/>
          <w:snapToGrid w:val="0"/>
          <w:color w:val="auto"/>
          <w:kern w:val="0"/>
          <w:sz w:val="18"/>
          <w:szCs w:val="18"/>
          <w:u w:val="single"/>
          <w:lang w:val="en-US" w:eastAsia="zh-CN"/>
        </w:rPr>
        <w:t>13</w:t>
      </w:r>
      <w:r>
        <w:rPr>
          <w:rFonts w:ascii="Times New Roman" w:hAnsi="Times New Roman" w:eastAsia="宋体" w:cs="Times New Roman"/>
          <w:bCs/>
          <w:snapToGrid w:val="0"/>
          <w:color w:val="auto"/>
          <w:kern w:val="0"/>
          <w:sz w:val="18"/>
          <w:szCs w:val="18"/>
          <w:u w:val="single"/>
        </w:rPr>
        <w:t xml:space="preserve"> </w:t>
      </w:r>
      <w:r>
        <w:rPr>
          <w:rFonts w:ascii="Times New Roman" w:hAnsi="Times New Roman" w:eastAsia="宋体" w:cs="Times New Roman"/>
          <w:bCs/>
          <w:snapToGrid w:val="0"/>
          <w:color w:val="auto"/>
          <w:sz w:val="18"/>
          <w:szCs w:val="16"/>
        </w:rPr>
        <w:t>日</w:t>
      </w:r>
      <w:r>
        <w:rPr>
          <w:rFonts w:ascii="Times New Roman" w:hAnsi="Times New Roman" w:eastAsia="宋体" w:cs="Times New Roman"/>
          <w:bCs/>
          <w:snapToGrid w:val="0"/>
          <w:color w:val="auto"/>
          <w:kern w:val="0"/>
          <w:sz w:val="18"/>
          <w:szCs w:val="18"/>
          <w:u w:val="single"/>
        </w:rPr>
        <w:t xml:space="preserve">  </w:t>
      </w:r>
      <w:r>
        <w:rPr>
          <w:rFonts w:hint="eastAsia" w:ascii="Times New Roman" w:hAnsi="Times New Roman" w:eastAsia="宋体" w:cs="Times New Roman"/>
          <w:bCs/>
          <w:snapToGrid w:val="0"/>
          <w:color w:val="auto"/>
          <w:kern w:val="0"/>
          <w:sz w:val="18"/>
          <w:szCs w:val="18"/>
          <w:u w:val="single"/>
          <w:lang w:val="en-US" w:eastAsia="zh-CN"/>
        </w:rPr>
        <w:t>15</w:t>
      </w:r>
      <w:r>
        <w:rPr>
          <w:rFonts w:ascii="Times New Roman" w:hAnsi="Times New Roman" w:eastAsia="宋体" w:cs="Times New Roman"/>
          <w:bCs/>
          <w:snapToGrid w:val="0"/>
          <w:color w:val="auto"/>
          <w:kern w:val="0"/>
          <w:sz w:val="18"/>
          <w:szCs w:val="18"/>
          <w:u w:val="single"/>
        </w:rPr>
        <w:t xml:space="preserve"> </w:t>
      </w:r>
      <w:r>
        <w:rPr>
          <w:rFonts w:ascii="Times New Roman" w:hAnsi="Times New Roman" w:cs="Times New Roman" w:eastAsiaTheme="minorEastAsia"/>
          <w:color w:val="auto"/>
          <w:szCs w:val="15"/>
        </w:rPr>
        <w:t xml:space="preserve"> 时</w:t>
      </w:r>
      <w:r>
        <w:rPr>
          <w:rFonts w:ascii="Times New Roman" w:hAnsi="Times New Roman" w:eastAsia="宋体" w:cs="Times New Roman"/>
          <w:bCs/>
          <w:snapToGrid w:val="0"/>
          <w:color w:val="auto"/>
          <w:kern w:val="0"/>
          <w:sz w:val="18"/>
          <w:szCs w:val="18"/>
          <w:u w:val="single"/>
        </w:rPr>
        <w:t xml:space="preserve">  </w:t>
      </w:r>
      <w:r>
        <w:rPr>
          <w:rFonts w:hint="eastAsia" w:ascii="Times New Roman" w:hAnsi="Times New Roman" w:eastAsia="宋体" w:cs="Times New Roman"/>
          <w:bCs/>
          <w:snapToGrid w:val="0"/>
          <w:color w:val="auto"/>
          <w:kern w:val="0"/>
          <w:sz w:val="18"/>
          <w:szCs w:val="18"/>
          <w:u w:val="single"/>
          <w:lang w:val="en-US" w:eastAsia="zh-CN"/>
        </w:rPr>
        <w:t>0</w:t>
      </w:r>
      <w:r>
        <w:rPr>
          <w:rFonts w:ascii="Times New Roman" w:hAnsi="Times New Roman" w:eastAsia="宋体" w:cs="Times New Roman"/>
          <w:bCs/>
          <w:snapToGrid w:val="0"/>
          <w:color w:val="auto"/>
          <w:kern w:val="0"/>
          <w:sz w:val="18"/>
          <w:szCs w:val="18"/>
          <w:u w:val="single"/>
        </w:rPr>
        <w:t xml:space="preserve"> </w:t>
      </w:r>
      <w:r>
        <w:rPr>
          <w:rFonts w:ascii="Times New Roman" w:hAnsi="Times New Roman" w:cs="Times New Roman" w:eastAsiaTheme="minorEastAsia"/>
          <w:color w:val="auto"/>
          <w:szCs w:val="15"/>
        </w:rPr>
        <w:t>分</w:t>
      </w:r>
    </w:p>
    <w:p w14:paraId="268D6284">
      <w:pPr>
        <w:spacing w:line="360" w:lineRule="auto"/>
        <w:ind w:firstLine="435"/>
        <w:rPr>
          <w:rFonts w:ascii="Times New Roman" w:hAnsi="Times New Roman" w:cs="Times New Roman" w:eastAsiaTheme="minorEastAsia"/>
          <w:color w:val="auto"/>
          <w:szCs w:val="21"/>
          <w:u w:val="single"/>
        </w:rPr>
      </w:pPr>
      <w:r>
        <w:rPr>
          <w:rFonts w:ascii="Times New Roman" w:hAnsi="Times New Roman" w:cs="Times New Roman" w:eastAsiaTheme="minorEastAsia"/>
          <w:color w:val="auto"/>
          <w:szCs w:val="15"/>
        </w:rPr>
        <w:t>2</w:t>
      </w:r>
      <w:r>
        <w:rPr>
          <w:rFonts w:ascii="Times New Roman" w:hAnsi="Times New Roman" w:cs="Times New Roman" w:eastAsiaTheme="minorEastAsia"/>
          <w:b/>
          <w:color w:val="auto"/>
          <w:szCs w:val="16"/>
        </w:rPr>
        <w:t>.</w:t>
      </w:r>
      <w:r>
        <w:rPr>
          <w:rFonts w:ascii="Times New Roman" w:hAnsi="Times New Roman" w:cs="Times New Roman" w:eastAsiaTheme="minorEastAsia"/>
          <w:color w:val="auto"/>
          <w:szCs w:val="15"/>
        </w:rPr>
        <w:t>询价地点：</w:t>
      </w:r>
      <w:r>
        <w:rPr>
          <w:rFonts w:ascii="Times New Roman" w:hAnsi="Times New Roman" w:cs="Times New Roman" w:eastAsiaTheme="minorEastAsia"/>
          <w:color w:val="auto"/>
          <w:szCs w:val="21"/>
          <w:u w:val="single"/>
        </w:rPr>
        <w:t xml:space="preserve"> </w:t>
      </w:r>
      <w:r>
        <w:rPr>
          <w:rFonts w:hint="eastAsia" w:ascii="宋体" w:hAnsi="宋体" w:cs="宋体"/>
          <w:color w:val="auto"/>
          <w:kern w:val="0"/>
          <w:sz w:val="21"/>
          <w:szCs w:val="21"/>
          <w:u w:val="single"/>
        </w:rPr>
        <w:t>合肥市蜀山区习友路与茂荫路交口投资大厦</w:t>
      </w:r>
      <w:r>
        <w:rPr>
          <w:rFonts w:hint="eastAsia" w:ascii="Times New Roman" w:hAnsi="Times New Roman" w:cs="Times New Roman"/>
          <w:color w:val="auto"/>
          <w:szCs w:val="21"/>
          <w:u w:val="single"/>
          <w:lang w:val="en-US" w:eastAsia="zh-CN"/>
        </w:rPr>
        <w:t>多功能厅</w:t>
      </w:r>
      <w:r>
        <w:rPr>
          <w:rFonts w:ascii="Times New Roman" w:hAnsi="Times New Roman" w:cs="Times New Roman" w:eastAsiaTheme="minorEastAsia"/>
          <w:color w:val="auto"/>
          <w:szCs w:val="21"/>
          <w:u w:val="single"/>
        </w:rPr>
        <w:t xml:space="preserve"> </w:t>
      </w:r>
    </w:p>
    <w:p w14:paraId="3AAA3B56">
      <w:pPr>
        <w:spacing w:line="360" w:lineRule="auto"/>
        <w:rPr>
          <w:rFonts w:ascii="Times New Roman" w:hAnsi="Times New Roman" w:cs="Times New Roman" w:eastAsiaTheme="minorEastAsia"/>
          <w:b/>
          <w:bCs/>
          <w:color w:val="auto"/>
          <w:sz w:val="24"/>
          <w:szCs w:val="18"/>
        </w:rPr>
      </w:pPr>
      <w:r>
        <w:rPr>
          <w:rFonts w:ascii="Times New Roman" w:hAnsi="Times New Roman" w:cs="Times New Roman" w:eastAsiaTheme="minorEastAsia"/>
          <w:b/>
          <w:bCs/>
          <w:color w:val="auto"/>
          <w:sz w:val="24"/>
          <w:szCs w:val="18"/>
        </w:rPr>
        <w:t>五</w:t>
      </w:r>
      <w:r>
        <w:rPr>
          <w:rFonts w:ascii="Times New Roman" w:hAnsi="Times New Roman" w:cs="Times New Roman" w:eastAsiaTheme="minorEastAsia"/>
          <w:b/>
          <w:color w:val="auto"/>
          <w:sz w:val="24"/>
        </w:rPr>
        <w:t>、</w:t>
      </w:r>
      <w:r>
        <w:rPr>
          <w:rFonts w:ascii="Times New Roman" w:hAnsi="Times New Roman" w:cs="Times New Roman" w:eastAsiaTheme="minorEastAsia"/>
          <w:b/>
          <w:bCs/>
          <w:color w:val="auto"/>
          <w:sz w:val="24"/>
          <w:szCs w:val="18"/>
        </w:rPr>
        <w:t>投标文件提交截止时间</w:t>
      </w:r>
    </w:p>
    <w:p w14:paraId="77F8367B">
      <w:pPr>
        <w:spacing w:line="360" w:lineRule="auto"/>
        <w:ind w:firstLine="360" w:firstLineChars="200"/>
        <w:rPr>
          <w:rFonts w:ascii="Times New Roman" w:hAnsi="Times New Roman" w:cs="Times New Roman" w:eastAsiaTheme="minorEastAsia"/>
          <w:b/>
          <w:color w:val="auto"/>
          <w:sz w:val="24"/>
          <w:szCs w:val="18"/>
        </w:rPr>
      </w:pPr>
      <w:r>
        <w:rPr>
          <w:rFonts w:ascii="Times New Roman" w:hAnsi="Times New Roman" w:eastAsia="宋体" w:cs="Times New Roman"/>
          <w:bCs/>
          <w:snapToGrid w:val="0"/>
          <w:color w:val="auto"/>
          <w:kern w:val="0"/>
          <w:sz w:val="18"/>
          <w:szCs w:val="18"/>
          <w:u w:val="single"/>
        </w:rPr>
        <w:t xml:space="preserve"> </w:t>
      </w:r>
      <w:r>
        <w:rPr>
          <w:rFonts w:hint="eastAsia" w:ascii="Times New Roman" w:hAnsi="Times New Roman" w:eastAsia="宋体" w:cs="Times New Roman"/>
          <w:bCs/>
          <w:snapToGrid w:val="0"/>
          <w:color w:val="auto"/>
          <w:kern w:val="0"/>
          <w:sz w:val="18"/>
          <w:szCs w:val="18"/>
          <w:u w:val="single"/>
          <w:lang w:val="en-US" w:eastAsia="zh-CN"/>
        </w:rPr>
        <w:t>2024</w:t>
      </w:r>
      <w:r>
        <w:rPr>
          <w:rFonts w:ascii="Times New Roman" w:hAnsi="Times New Roman" w:eastAsia="宋体" w:cs="Times New Roman"/>
          <w:bCs/>
          <w:snapToGrid w:val="0"/>
          <w:color w:val="auto"/>
          <w:kern w:val="0"/>
          <w:sz w:val="18"/>
          <w:szCs w:val="18"/>
          <w:u w:val="single"/>
        </w:rPr>
        <w:t xml:space="preserve">  </w:t>
      </w:r>
      <w:r>
        <w:rPr>
          <w:rFonts w:ascii="Times New Roman" w:hAnsi="Times New Roman" w:eastAsia="宋体" w:cs="Times New Roman"/>
          <w:bCs/>
          <w:snapToGrid w:val="0"/>
          <w:color w:val="auto"/>
          <w:sz w:val="18"/>
          <w:szCs w:val="16"/>
        </w:rPr>
        <w:t>年</w:t>
      </w:r>
      <w:r>
        <w:rPr>
          <w:rFonts w:ascii="Times New Roman" w:hAnsi="Times New Roman" w:eastAsia="宋体" w:cs="Times New Roman"/>
          <w:bCs/>
          <w:snapToGrid w:val="0"/>
          <w:color w:val="auto"/>
          <w:kern w:val="0"/>
          <w:sz w:val="18"/>
          <w:szCs w:val="18"/>
          <w:u w:val="single"/>
        </w:rPr>
        <w:t xml:space="preserve"> </w:t>
      </w:r>
      <w:r>
        <w:rPr>
          <w:rFonts w:hint="eastAsia" w:ascii="Times New Roman" w:hAnsi="Times New Roman" w:eastAsia="宋体" w:cs="Times New Roman"/>
          <w:bCs/>
          <w:snapToGrid w:val="0"/>
          <w:color w:val="auto"/>
          <w:kern w:val="0"/>
          <w:sz w:val="18"/>
          <w:szCs w:val="18"/>
          <w:u w:val="single"/>
          <w:lang w:val="en-US" w:eastAsia="zh-CN"/>
        </w:rPr>
        <w:t>1</w:t>
      </w:r>
      <w:r>
        <w:rPr>
          <w:rFonts w:ascii="Times New Roman" w:hAnsi="Times New Roman" w:eastAsia="宋体" w:cs="Times New Roman"/>
          <w:bCs/>
          <w:snapToGrid w:val="0"/>
          <w:color w:val="auto"/>
          <w:kern w:val="0"/>
          <w:sz w:val="18"/>
          <w:szCs w:val="18"/>
          <w:u w:val="single"/>
        </w:rPr>
        <w:t xml:space="preserve">  </w:t>
      </w:r>
      <w:r>
        <w:rPr>
          <w:rFonts w:ascii="Times New Roman" w:hAnsi="Times New Roman" w:eastAsia="宋体" w:cs="Times New Roman"/>
          <w:bCs/>
          <w:snapToGrid w:val="0"/>
          <w:color w:val="auto"/>
          <w:sz w:val="18"/>
          <w:szCs w:val="16"/>
        </w:rPr>
        <w:t>月</w:t>
      </w:r>
      <w:r>
        <w:rPr>
          <w:rFonts w:ascii="Times New Roman" w:hAnsi="Times New Roman" w:eastAsia="宋体" w:cs="Times New Roman"/>
          <w:bCs/>
          <w:snapToGrid w:val="0"/>
          <w:color w:val="auto"/>
          <w:kern w:val="0"/>
          <w:sz w:val="18"/>
          <w:szCs w:val="18"/>
          <w:u w:val="single"/>
        </w:rPr>
        <w:t xml:space="preserve">  </w:t>
      </w:r>
      <w:r>
        <w:rPr>
          <w:rFonts w:hint="eastAsia" w:ascii="Times New Roman" w:hAnsi="Times New Roman" w:eastAsia="宋体" w:cs="Times New Roman"/>
          <w:bCs/>
          <w:snapToGrid w:val="0"/>
          <w:color w:val="auto"/>
          <w:kern w:val="0"/>
          <w:sz w:val="18"/>
          <w:szCs w:val="18"/>
          <w:u w:val="single"/>
          <w:lang w:val="en-US" w:eastAsia="zh-CN"/>
        </w:rPr>
        <w:t>13</w:t>
      </w:r>
      <w:r>
        <w:rPr>
          <w:rFonts w:ascii="Times New Roman" w:hAnsi="Times New Roman" w:eastAsia="宋体" w:cs="Times New Roman"/>
          <w:bCs/>
          <w:snapToGrid w:val="0"/>
          <w:color w:val="auto"/>
          <w:kern w:val="0"/>
          <w:sz w:val="18"/>
          <w:szCs w:val="18"/>
          <w:u w:val="single"/>
        </w:rPr>
        <w:t xml:space="preserve"> </w:t>
      </w:r>
      <w:r>
        <w:rPr>
          <w:rFonts w:ascii="Times New Roman" w:hAnsi="Times New Roman" w:eastAsia="宋体" w:cs="Times New Roman"/>
          <w:bCs/>
          <w:snapToGrid w:val="0"/>
          <w:color w:val="auto"/>
          <w:sz w:val="18"/>
          <w:szCs w:val="16"/>
        </w:rPr>
        <w:t>日</w:t>
      </w:r>
      <w:r>
        <w:rPr>
          <w:rFonts w:ascii="Times New Roman" w:hAnsi="Times New Roman" w:eastAsia="宋体" w:cs="Times New Roman"/>
          <w:bCs/>
          <w:snapToGrid w:val="0"/>
          <w:color w:val="auto"/>
          <w:kern w:val="0"/>
          <w:sz w:val="18"/>
          <w:szCs w:val="18"/>
          <w:u w:val="single"/>
        </w:rPr>
        <w:t xml:space="preserve">  </w:t>
      </w:r>
      <w:r>
        <w:rPr>
          <w:rFonts w:hint="eastAsia" w:ascii="Times New Roman" w:hAnsi="Times New Roman" w:eastAsia="宋体" w:cs="Times New Roman"/>
          <w:bCs/>
          <w:snapToGrid w:val="0"/>
          <w:color w:val="auto"/>
          <w:kern w:val="0"/>
          <w:sz w:val="18"/>
          <w:szCs w:val="18"/>
          <w:u w:val="single"/>
          <w:lang w:val="en-US" w:eastAsia="zh-CN"/>
        </w:rPr>
        <w:t>15</w:t>
      </w:r>
      <w:r>
        <w:rPr>
          <w:rFonts w:ascii="Times New Roman" w:hAnsi="Times New Roman" w:eastAsia="宋体" w:cs="Times New Roman"/>
          <w:bCs/>
          <w:snapToGrid w:val="0"/>
          <w:color w:val="auto"/>
          <w:kern w:val="0"/>
          <w:sz w:val="18"/>
          <w:szCs w:val="18"/>
          <w:u w:val="single"/>
        </w:rPr>
        <w:t xml:space="preserve"> </w:t>
      </w:r>
      <w:r>
        <w:rPr>
          <w:rFonts w:ascii="Times New Roman" w:hAnsi="Times New Roman" w:cs="Times New Roman" w:eastAsiaTheme="minorEastAsia"/>
          <w:color w:val="auto"/>
          <w:szCs w:val="15"/>
        </w:rPr>
        <w:t xml:space="preserve"> 时</w:t>
      </w:r>
      <w:r>
        <w:rPr>
          <w:rFonts w:ascii="Times New Roman" w:hAnsi="Times New Roman" w:eastAsia="宋体" w:cs="Times New Roman"/>
          <w:bCs/>
          <w:snapToGrid w:val="0"/>
          <w:color w:val="auto"/>
          <w:kern w:val="0"/>
          <w:sz w:val="18"/>
          <w:szCs w:val="18"/>
          <w:u w:val="single"/>
        </w:rPr>
        <w:t xml:space="preserve">  </w:t>
      </w:r>
      <w:r>
        <w:rPr>
          <w:rFonts w:hint="eastAsia" w:ascii="Times New Roman" w:hAnsi="Times New Roman" w:eastAsia="宋体" w:cs="Times New Roman"/>
          <w:bCs/>
          <w:snapToGrid w:val="0"/>
          <w:color w:val="auto"/>
          <w:kern w:val="0"/>
          <w:sz w:val="18"/>
          <w:szCs w:val="18"/>
          <w:u w:val="single"/>
          <w:lang w:val="en-US" w:eastAsia="zh-CN"/>
        </w:rPr>
        <w:t>0</w:t>
      </w:r>
      <w:r>
        <w:rPr>
          <w:rFonts w:ascii="Times New Roman" w:hAnsi="Times New Roman" w:eastAsia="宋体" w:cs="Times New Roman"/>
          <w:bCs/>
          <w:snapToGrid w:val="0"/>
          <w:color w:val="auto"/>
          <w:kern w:val="0"/>
          <w:sz w:val="18"/>
          <w:szCs w:val="18"/>
          <w:u w:val="single"/>
        </w:rPr>
        <w:t xml:space="preserve"> </w:t>
      </w:r>
      <w:r>
        <w:rPr>
          <w:rFonts w:ascii="Times New Roman" w:hAnsi="Times New Roman" w:cs="Times New Roman" w:eastAsiaTheme="minorEastAsia"/>
          <w:color w:val="auto"/>
          <w:szCs w:val="15"/>
        </w:rPr>
        <w:t>分</w:t>
      </w:r>
    </w:p>
    <w:p w14:paraId="64FB3AC2">
      <w:pPr>
        <w:spacing w:line="360" w:lineRule="auto"/>
        <w:rPr>
          <w:rFonts w:ascii="Times New Roman" w:hAnsi="Times New Roman" w:cs="Times New Roman" w:eastAsiaTheme="minorEastAsia"/>
          <w:b/>
          <w:bCs/>
          <w:color w:val="auto"/>
          <w:sz w:val="24"/>
          <w:szCs w:val="18"/>
        </w:rPr>
      </w:pPr>
      <w:r>
        <w:rPr>
          <w:rFonts w:ascii="Times New Roman" w:hAnsi="Times New Roman" w:cs="Times New Roman" w:eastAsiaTheme="minorEastAsia"/>
          <w:b/>
          <w:color w:val="auto"/>
          <w:sz w:val="24"/>
          <w:szCs w:val="18"/>
        </w:rPr>
        <w:t>六</w:t>
      </w:r>
      <w:r>
        <w:rPr>
          <w:rFonts w:ascii="Times New Roman" w:hAnsi="Times New Roman" w:cs="Times New Roman" w:eastAsiaTheme="minorEastAsia"/>
          <w:b/>
          <w:color w:val="auto"/>
          <w:sz w:val="24"/>
        </w:rPr>
        <w:t>、</w:t>
      </w:r>
      <w:r>
        <w:rPr>
          <w:rFonts w:ascii="Times New Roman" w:hAnsi="Times New Roman" w:cs="Times New Roman" w:eastAsiaTheme="minorEastAsia"/>
          <w:b/>
          <w:bCs/>
          <w:color w:val="auto"/>
          <w:sz w:val="24"/>
          <w:szCs w:val="18"/>
        </w:rPr>
        <w:t>联系方式</w:t>
      </w:r>
    </w:p>
    <w:p w14:paraId="0DC12777">
      <w:pPr>
        <w:spacing w:line="360" w:lineRule="auto"/>
        <w:ind w:firstLine="435"/>
        <w:rPr>
          <w:rFonts w:ascii="Times New Roman" w:hAnsi="Times New Roman" w:cs="Times New Roman" w:eastAsiaTheme="minorEastAsia"/>
          <w:color w:val="auto"/>
          <w:szCs w:val="15"/>
        </w:rPr>
      </w:pPr>
      <w:r>
        <w:rPr>
          <w:rFonts w:ascii="Times New Roman" w:hAnsi="Times New Roman" w:cs="Times New Roman" w:eastAsiaTheme="minorEastAsia"/>
          <w:color w:val="auto"/>
          <w:szCs w:val="15"/>
        </w:rPr>
        <w:t>1.招标人</w:t>
      </w:r>
    </w:p>
    <w:p w14:paraId="1CEEC852">
      <w:pPr>
        <w:spacing w:line="360" w:lineRule="auto"/>
        <w:ind w:firstLine="435"/>
        <w:rPr>
          <w:rFonts w:hint="eastAsia" w:ascii="宋体" w:hAnsi="宋体" w:cs="宋体" w:eastAsiaTheme="minorEastAsia"/>
          <w:color w:val="auto"/>
          <w:kern w:val="0"/>
          <w:sz w:val="24"/>
          <w:szCs w:val="24"/>
          <w:u w:val="single"/>
          <w:lang w:val="en-US" w:eastAsia="zh-CN"/>
        </w:rPr>
      </w:pPr>
      <w:r>
        <w:rPr>
          <w:rFonts w:ascii="Times New Roman" w:hAnsi="Times New Roman" w:cs="Times New Roman" w:eastAsiaTheme="minorEastAsia"/>
          <w:color w:val="auto"/>
          <w:szCs w:val="15"/>
        </w:rPr>
        <w:t>招标人：</w:t>
      </w:r>
      <w:r>
        <w:rPr>
          <w:rFonts w:hint="eastAsia" w:ascii="宋体" w:hAnsi="宋体" w:cs="宋体"/>
          <w:color w:val="auto"/>
          <w:kern w:val="0"/>
          <w:sz w:val="21"/>
          <w:szCs w:val="21"/>
          <w:u w:val="single"/>
          <w:lang w:val="en-US" w:eastAsia="zh-CN"/>
        </w:rPr>
        <w:t>合肥文旅博览集团有限公司</w:t>
      </w:r>
    </w:p>
    <w:p w14:paraId="7DE632E1">
      <w:pPr>
        <w:spacing w:line="360" w:lineRule="auto"/>
        <w:ind w:firstLine="435"/>
        <w:rPr>
          <w:rFonts w:hint="eastAsia" w:ascii="宋体" w:hAnsi="宋体" w:cs="宋体" w:eastAsiaTheme="minorEastAsia"/>
          <w:color w:val="auto"/>
          <w:kern w:val="0"/>
          <w:szCs w:val="21"/>
          <w:u w:val="single"/>
        </w:rPr>
      </w:pPr>
      <w:r>
        <w:rPr>
          <w:rFonts w:ascii="Times New Roman" w:hAnsi="Times New Roman" w:cs="Times New Roman" w:eastAsiaTheme="minorEastAsia"/>
          <w:color w:val="auto"/>
          <w:szCs w:val="15"/>
        </w:rPr>
        <w:t>地  址：</w:t>
      </w:r>
      <w:r>
        <w:rPr>
          <w:rFonts w:ascii="Times New Roman" w:hAnsi="Times New Roman" w:cs="Times New Roman" w:eastAsiaTheme="minorEastAsia"/>
          <w:color w:val="auto"/>
          <w:szCs w:val="15"/>
          <w:u w:val="single"/>
        </w:rPr>
        <w:t xml:space="preserve"> </w:t>
      </w:r>
      <w:r>
        <w:rPr>
          <w:rFonts w:hint="eastAsia" w:ascii="宋体" w:hAnsi="宋体" w:cs="宋体"/>
          <w:color w:val="auto"/>
          <w:kern w:val="0"/>
          <w:sz w:val="21"/>
          <w:szCs w:val="21"/>
          <w:u w:val="single"/>
        </w:rPr>
        <w:t>合肥市蜀山区习友路与茂荫路交口投资大厦</w:t>
      </w:r>
      <w:r>
        <w:rPr>
          <w:rFonts w:hint="eastAsia" w:ascii="宋体" w:hAnsi="宋体" w:cs="宋体" w:eastAsiaTheme="minorEastAsia"/>
          <w:color w:val="auto"/>
          <w:kern w:val="0"/>
          <w:szCs w:val="21"/>
          <w:u w:val="single"/>
        </w:rPr>
        <w:t xml:space="preserve"> </w:t>
      </w:r>
    </w:p>
    <w:p w14:paraId="2AB1B140">
      <w:pPr>
        <w:spacing w:line="360" w:lineRule="auto"/>
        <w:ind w:firstLine="435"/>
        <w:rPr>
          <w:rFonts w:ascii="Times New Roman" w:hAnsi="Times New Roman" w:cs="Times New Roman" w:eastAsiaTheme="minorEastAsia"/>
          <w:color w:val="auto"/>
          <w:szCs w:val="15"/>
        </w:rPr>
      </w:pPr>
      <w:r>
        <w:rPr>
          <w:rFonts w:ascii="Times New Roman" w:hAnsi="Times New Roman" w:cs="Times New Roman" w:eastAsiaTheme="minorEastAsia"/>
          <w:color w:val="auto"/>
          <w:szCs w:val="15"/>
        </w:rPr>
        <w:t>联系人：</w:t>
      </w:r>
      <w:r>
        <w:rPr>
          <w:rFonts w:ascii="Times New Roman" w:hAnsi="Times New Roman" w:cs="Times New Roman" w:eastAsiaTheme="minorEastAsia"/>
          <w:color w:val="auto"/>
          <w:szCs w:val="15"/>
          <w:u w:val="single"/>
        </w:rPr>
        <w:t xml:space="preserve">   </w:t>
      </w:r>
      <w:r>
        <w:rPr>
          <w:rFonts w:hint="eastAsia" w:ascii="Times New Roman" w:hAnsi="Times New Roman" w:cs="Times New Roman"/>
          <w:color w:val="auto"/>
          <w:szCs w:val="15"/>
          <w:u w:val="single"/>
          <w:lang w:val="en-US" w:eastAsia="zh-CN"/>
        </w:rPr>
        <w:t>汪工</w:t>
      </w:r>
      <w:r>
        <w:rPr>
          <w:rFonts w:ascii="Times New Roman" w:hAnsi="Times New Roman" w:cs="Times New Roman" w:eastAsiaTheme="minorEastAsia"/>
          <w:color w:val="auto"/>
          <w:szCs w:val="15"/>
          <w:u w:val="single"/>
        </w:rPr>
        <w:t xml:space="preserve">       </w:t>
      </w:r>
    </w:p>
    <w:p w14:paraId="261A7E78">
      <w:pPr>
        <w:spacing w:line="360" w:lineRule="auto"/>
        <w:ind w:firstLine="435"/>
        <w:rPr>
          <w:rFonts w:ascii="Times New Roman" w:hAnsi="Times New Roman" w:cs="Times New Roman" w:eastAsiaTheme="minorEastAsia"/>
          <w:color w:val="auto"/>
          <w:szCs w:val="15"/>
        </w:rPr>
      </w:pPr>
      <w:r>
        <w:rPr>
          <w:rFonts w:ascii="Times New Roman" w:hAnsi="Times New Roman" w:cs="Times New Roman" w:eastAsiaTheme="minorEastAsia"/>
          <w:color w:val="auto"/>
          <w:szCs w:val="15"/>
        </w:rPr>
        <w:t>电  话：</w:t>
      </w:r>
      <w:r>
        <w:rPr>
          <w:rFonts w:ascii="Times New Roman" w:hAnsi="Times New Roman" w:cs="Times New Roman" w:eastAsiaTheme="minorEastAsia"/>
          <w:color w:val="auto"/>
          <w:szCs w:val="15"/>
          <w:u w:val="single"/>
        </w:rPr>
        <w:t xml:space="preserve">  </w:t>
      </w:r>
      <w:r>
        <w:rPr>
          <w:rFonts w:hint="eastAsia" w:ascii="Times New Roman" w:hAnsi="Times New Roman" w:cs="Times New Roman"/>
          <w:color w:val="auto"/>
          <w:szCs w:val="15"/>
          <w:u w:val="single"/>
          <w:lang w:val="en-US" w:eastAsia="zh-CN"/>
        </w:rPr>
        <w:t>0551-63530687</w:t>
      </w:r>
      <w:r>
        <w:rPr>
          <w:rFonts w:ascii="Times New Roman" w:hAnsi="Times New Roman" w:cs="Times New Roman" w:eastAsiaTheme="minorEastAsia"/>
          <w:color w:val="auto"/>
          <w:szCs w:val="15"/>
          <w:u w:val="single"/>
        </w:rPr>
        <w:t xml:space="preserve">  </w:t>
      </w:r>
    </w:p>
    <w:p w14:paraId="0C9F99A9">
      <w:pPr>
        <w:spacing w:line="360" w:lineRule="auto"/>
        <w:ind w:firstLine="435"/>
        <w:rPr>
          <w:rFonts w:ascii="Times New Roman" w:hAnsi="Times New Roman" w:cs="Times New Roman" w:eastAsiaTheme="minorEastAsia"/>
          <w:b/>
          <w:color w:val="auto"/>
          <w:szCs w:val="15"/>
        </w:rPr>
      </w:pPr>
      <w:r>
        <w:rPr>
          <w:rFonts w:hint="eastAsia" w:ascii="Times New Roman" w:hAnsi="Times New Roman" w:cs="Times New Roman" w:eastAsiaTheme="minorEastAsia"/>
          <w:color w:val="auto"/>
          <w:szCs w:val="15"/>
        </w:rPr>
        <w:t>2</w:t>
      </w:r>
      <w:r>
        <w:rPr>
          <w:rFonts w:ascii="Times New Roman" w:hAnsi="Times New Roman" w:cs="Times New Roman" w:eastAsiaTheme="minorEastAsia"/>
          <w:b/>
          <w:color w:val="auto"/>
          <w:szCs w:val="15"/>
        </w:rPr>
        <w:t>.</w:t>
      </w:r>
      <w:r>
        <w:rPr>
          <w:rFonts w:ascii="Times New Roman" w:hAnsi="Times New Roman" w:cs="Times New Roman" w:eastAsiaTheme="minorEastAsia"/>
          <w:color w:val="auto"/>
          <w:szCs w:val="15"/>
        </w:rPr>
        <w:t>监督管理部门</w:t>
      </w:r>
    </w:p>
    <w:p w14:paraId="04EE6B7F">
      <w:pPr>
        <w:widowControl/>
        <w:spacing w:line="500" w:lineRule="exact"/>
        <w:ind w:firstLine="420" w:firstLineChars="200"/>
        <w:jc w:val="left"/>
        <w:rPr>
          <w:rFonts w:ascii="Times New Roman" w:hAnsi="Times New Roman" w:eastAsia="宋体" w:cs="Times New Roman"/>
          <w:bCs/>
          <w:snapToGrid w:val="0"/>
          <w:color w:val="auto"/>
          <w:kern w:val="0"/>
          <w:szCs w:val="21"/>
        </w:rPr>
      </w:pPr>
      <w:r>
        <w:rPr>
          <w:rFonts w:ascii="Times New Roman" w:hAnsi="Times New Roman" w:eastAsia="宋体" w:cs="Times New Roman"/>
          <w:bCs/>
          <w:snapToGrid w:val="0"/>
          <w:color w:val="auto"/>
          <w:kern w:val="0"/>
          <w:szCs w:val="21"/>
        </w:rPr>
        <w:t>监督管理部门：</w:t>
      </w:r>
      <w:r>
        <w:rPr>
          <w:rFonts w:ascii="Times New Roman" w:hAnsi="Times New Roman" w:cs="Times New Roman" w:eastAsiaTheme="minorEastAsia"/>
          <w:color w:val="auto"/>
          <w:szCs w:val="15"/>
          <w:u w:val="single"/>
        </w:rPr>
        <w:t xml:space="preserve">  </w:t>
      </w:r>
      <w:r>
        <w:rPr>
          <w:rFonts w:hint="eastAsia" w:ascii="Times New Roman" w:hAnsi="Times New Roman" w:cs="Times New Roman" w:eastAsiaTheme="minorEastAsia"/>
          <w:color w:val="auto"/>
          <w:szCs w:val="15"/>
          <w:u w:val="single"/>
        </w:rPr>
        <w:t>合肥文旅博览集团有限公司纪委纪检监察室</w:t>
      </w:r>
      <w:r>
        <w:rPr>
          <w:rFonts w:ascii="Times New Roman" w:hAnsi="Times New Roman" w:cs="Times New Roman" w:eastAsiaTheme="minorEastAsia"/>
          <w:color w:val="auto"/>
          <w:szCs w:val="15"/>
          <w:u w:val="single"/>
        </w:rPr>
        <w:t xml:space="preserve">        </w:t>
      </w:r>
    </w:p>
    <w:p w14:paraId="4B3FAC7E">
      <w:pPr>
        <w:widowControl/>
        <w:spacing w:line="500" w:lineRule="exact"/>
        <w:ind w:firstLine="420" w:firstLineChars="200"/>
        <w:jc w:val="left"/>
        <w:rPr>
          <w:rFonts w:ascii="Times New Roman" w:hAnsi="Times New Roman" w:eastAsia="宋体" w:cs="Times New Roman"/>
          <w:bCs/>
          <w:snapToGrid w:val="0"/>
          <w:color w:val="auto"/>
          <w:kern w:val="0"/>
          <w:szCs w:val="21"/>
          <w:u w:val="single"/>
        </w:rPr>
      </w:pPr>
      <w:r>
        <w:rPr>
          <w:rFonts w:ascii="Times New Roman" w:hAnsi="Times New Roman" w:eastAsia="宋体" w:cs="Times New Roman"/>
          <w:bCs/>
          <w:snapToGrid w:val="0"/>
          <w:color w:val="auto"/>
          <w:kern w:val="0"/>
          <w:szCs w:val="21"/>
        </w:rPr>
        <w:t>地  址：</w:t>
      </w:r>
      <w:r>
        <w:rPr>
          <w:rFonts w:ascii="Times New Roman" w:hAnsi="Times New Roman" w:cs="Times New Roman" w:eastAsiaTheme="minorEastAsia"/>
          <w:color w:val="auto"/>
          <w:szCs w:val="15"/>
          <w:u w:val="single"/>
        </w:rPr>
        <w:t xml:space="preserve">  合肥市蜀山区习友路与茂荫路交口投资大厦二楼纪委纪检监察室   </w:t>
      </w:r>
    </w:p>
    <w:p w14:paraId="4170163E">
      <w:pPr>
        <w:widowControl/>
        <w:spacing w:line="500" w:lineRule="exact"/>
        <w:ind w:firstLine="420" w:firstLineChars="200"/>
        <w:jc w:val="left"/>
        <w:rPr>
          <w:rFonts w:ascii="Times New Roman" w:hAnsi="Times New Roman" w:eastAsia="宋体" w:cs="Times New Roman"/>
          <w:bCs/>
          <w:snapToGrid w:val="0"/>
          <w:color w:val="auto"/>
          <w:kern w:val="0"/>
          <w:szCs w:val="21"/>
        </w:rPr>
      </w:pPr>
      <w:r>
        <w:rPr>
          <w:rFonts w:ascii="Times New Roman" w:hAnsi="Times New Roman" w:eastAsia="宋体" w:cs="Times New Roman"/>
          <w:bCs/>
          <w:snapToGrid w:val="0"/>
          <w:color w:val="auto"/>
          <w:kern w:val="0"/>
          <w:szCs w:val="21"/>
        </w:rPr>
        <w:t>电  话：</w:t>
      </w:r>
      <w:r>
        <w:rPr>
          <w:rFonts w:ascii="Times New Roman" w:hAnsi="Times New Roman" w:cs="Times New Roman" w:eastAsiaTheme="minorEastAsia"/>
          <w:color w:val="auto"/>
          <w:szCs w:val="15"/>
          <w:u w:val="single"/>
        </w:rPr>
        <w:t xml:space="preserve">    </w:t>
      </w:r>
      <w:r>
        <w:rPr>
          <w:rFonts w:ascii="Times New Roman" w:hAnsi="Times New Roman" w:cs="Times New Roman" w:eastAsiaTheme="minorEastAsia"/>
          <w:color w:val="auto"/>
          <w:sz w:val="21"/>
          <w:szCs w:val="15"/>
          <w:u w:val="single"/>
        </w:rPr>
        <w:t xml:space="preserve"> </w:t>
      </w:r>
      <w:r>
        <w:rPr>
          <w:rFonts w:ascii="宋体" w:hAnsi="宋体" w:eastAsia="宋体" w:cs="宋体"/>
          <w:i w:val="0"/>
          <w:iCs w:val="0"/>
          <w:caps w:val="0"/>
          <w:color w:val="auto"/>
          <w:spacing w:val="0"/>
          <w:sz w:val="24"/>
          <w:szCs w:val="24"/>
          <w:u w:val="single"/>
        </w:rPr>
        <w:t>0551-63539209</w:t>
      </w:r>
      <w:r>
        <w:rPr>
          <w:rFonts w:ascii="Times New Roman" w:hAnsi="Times New Roman" w:cs="Times New Roman" w:eastAsiaTheme="minorEastAsia"/>
          <w:color w:val="auto"/>
          <w:szCs w:val="15"/>
          <w:u w:val="single"/>
        </w:rPr>
        <w:t xml:space="preserve">      </w:t>
      </w:r>
    </w:p>
    <w:p w14:paraId="25055220">
      <w:pPr>
        <w:spacing w:line="360" w:lineRule="auto"/>
        <w:ind w:firstLine="435"/>
        <w:rPr>
          <w:rFonts w:ascii="Times New Roman" w:hAnsi="Times New Roman" w:cs="Times New Roman" w:eastAsiaTheme="minorEastAsia"/>
          <w:b/>
          <w:color w:val="auto"/>
          <w:sz w:val="24"/>
          <w:szCs w:val="18"/>
        </w:rPr>
      </w:pPr>
      <w:r>
        <w:rPr>
          <w:rFonts w:ascii="Times New Roman" w:hAnsi="Times New Roman" w:cs="Times New Roman" w:eastAsiaTheme="minorEastAsia"/>
          <w:b/>
          <w:color w:val="auto"/>
          <w:sz w:val="24"/>
          <w:szCs w:val="18"/>
        </w:rPr>
        <w:t>七</w:t>
      </w:r>
      <w:r>
        <w:rPr>
          <w:rFonts w:ascii="Times New Roman" w:hAnsi="Times New Roman" w:cs="Times New Roman" w:eastAsiaTheme="minorEastAsia"/>
          <w:b/>
          <w:color w:val="auto"/>
          <w:sz w:val="24"/>
        </w:rPr>
        <w:t>、</w:t>
      </w:r>
      <w:r>
        <w:rPr>
          <w:rFonts w:ascii="Times New Roman" w:hAnsi="Times New Roman" w:cs="Times New Roman" w:eastAsiaTheme="minorEastAsia"/>
          <w:b/>
          <w:color w:val="auto"/>
          <w:sz w:val="24"/>
          <w:szCs w:val="18"/>
        </w:rPr>
        <w:t>其他事项说明</w:t>
      </w:r>
    </w:p>
    <w:p w14:paraId="56C01920">
      <w:pPr>
        <w:widowControl/>
        <w:spacing w:line="500" w:lineRule="exact"/>
        <w:ind w:firstLine="420" w:firstLineChars="200"/>
        <w:jc w:val="left"/>
        <w:rPr>
          <w:rFonts w:ascii="Times New Roman" w:hAnsi="Times New Roman" w:eastAsia="宋体" w:cs="Times New Roman"/>
          <w:bCs/>
          <w:snapToGrid w:val="0"/>
          <w:kern w:val="0"/>
          <w:szCs w:val="21"/>
        </w:rPr>
      </w:pPr>
      <w:r>
        <w:rPr>
          <w:rFonts w:ascii="Times New Roman" w:hAnsi="Times New Roman" w:eastAsia="宋体" w:cs="Times New Roman"/>
          <w:bCs/>
          <w:snapToGrid w:val="0"/>
          <w:color w:val="auto"/>
          <w:kern w:val="0"/>
          <w:szCs w:val="21"/>
        </w:rPr>
        <w:t>有任何疑问或问题，请在工作时间（周一至周五，上午</w:t>
      </w:r>
      <w:r>
        <w:rPr>
          <w:rFonts w:ascii="Times New Roman" w:hAnsi="Times New Roman" w:eastAsia="宋体" w:cs="Times New Roman"/>
          <w:bCs/>
          <w:snapToGrid w:val="0"/>
          <w:kern w:val="0"/>
          <w:szCs w:val="21"/>
        </w:rPr>
        <w:t>08:00-12:00，下午2:30-5:30，节假日休息）与项目联系人联系。</w:t>
      </w:r>
    </w:p>
    <w:p w14:paraId="79442096">
      <w:pPr>
        <w:spacing w:line="360" w:lineRule="auto"/>
        <w:ind w:firstLine="435"/>
        <w:rPr>
          <w:rFonts w:ascii="Times New Roman" w:hAnsi="Times New Roman" w:cs="Times New Roman" w:eastAsiaTheme="minorEastAsia"/>
          <w:sz w:val="24"/>
          <w:szCs w:val="18"/>
        </w:rPr>
      </w:pPr>
    </w:p>
    <w:p w14:paraId="037DD649">
      <w:pPr>
        <w:widowControl/>
        <w:jc w:val="left"/>
        <w:rPr>
          <w:rFonts w:ascii="Times New Roman" w:hAnsi="Times New Roman" w:cs="Times New Roman" w:eastAsiaTheme="minorEastAsia"/>
          <w:sz w:val="24"/>
          <w:szCs w:val="18"/>
        </w:rPr>
      </w:pPr>
      <w:r>
        <w:rPr>
          <w:rFonts w:ascii="Times New Roman" w:hAnsi="Times New Roman" w:cs="Times New Roman" w:eastAsiaTheme="minorEastAsia"/>
          <w:sz w:val="24"/>
          <w:szCs w:val="18"/>
        </w:rPr>
        <w:br w:type="page"/>
      </w:r>
    </w:p>
    <w:p w14:paraId="3C9E4B81">
      <w:pPr>
        <w:spacing w:line="360" w:lineRule="auto"/>
        <w:jc w:val="center"/>
        <w:outlineLvl w:val="1"/>
        <w:rPr>
          <w:rFonts w:ascii="Times New Roman" w:hAnsi="Times New Roman" w:cs="Times New Roman" w:eastAsiaTheme="minorEastAsia"/>
          <w:b/>
          <w:sz w:val="28"/>
        </w:rPr>
      </w:pPr>
      <w:bookmarkStart w:id="2" w:name="_Toc22742"/>
      <w:r>
        <w:rPr>
          <w:rFonts w:ascii="Times New Roman" w:hAnsi="Times New Roman" w:cs="Times New Roman" w:eastAsiaTheme="minorEastAsia"/>
          <w:b/>
          <w:sz w:val="28"/>
        </w:rPr>
        <w:t>第二章  投标人须知</w:t>
      </w:r>
      <w:bookmarkEnd w:id="2"/>
    </w:p>
    <w:p w14:paraId="2A3C1217">
      <w:pPr>
        <w:spacing w:line="360" w:lineRule="auto"/>
        <w:jc w:val="center"/>
        <w:outlineLvl w:val="2"/>
        <w:rPr>
          <w:rFonts w:ascii="Times New Roman" w:hAnsi="Times New Roman" w:cs="Times New Roman" w:eastAsiaTheme="minorEastAsia"/>
          <w:b/>
          <w:sz w:val="24"/>
        </w:rPr>
      </w:pPr>
      <w:r>
        <w:rPr>
          <w:rFonts w:ascii="Times New Roman" w:hAnsi="Times New Roman" w:cs="Times New Roman" w:eastAsiaTheme="minorEastAsia"/>
          <w:b/>
          <w:sz w:val="24"/>
        </w:rPr>
        <w:t>一、投标人须知前附表</w:t>
      </w:r>
    </w:p>
    <w:tbl>
      <w:tblPr>
        <w:tblStyle w:val="22"/>
        <w:tblW w:w="507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1855"/>
        <w:gridCol w:w="5798"/>
      </w:tblGrid>
      <w:tr w14:paraId="07314E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14:paraId="458E6829">
            <w:pPr>
              <w:pStyle w:val="30"/>
              <w:widowControl w:val="0"/>
              <w:spacing w:before="0" w:beforeAutospacing="0" w:after="0" w:afterAutospacing="0"/>
              <w:rPr>
                <w:rFonts w:ascii="Times New Roman" w:hAnsi="Times New Roman" w:cs="Times New Roman" w:eastAsiaTheme="minorEastAsia"/>
                <w:bCs w:val="0"/>
                <w:kern w:val="2"/>
                <w:sz w:val="21"/>
                <w:szCs w:val="21"/>
              </w:rPr>
            </w:pPr>
            <w:r>
              <w:rPr>
                <w:rFonts w:ascii="Times New Roman" w:hAnsi="Times New Roman" w:cs="Times New Roman" w:eastAsiaTheme="minorEastAsia"/>
                <w:bCs w:val="0"/>
                <w:kern w:val="2"/>
                <w:sz w:val="21"/>
                <w:szCs w:val="21"/>
              </w:rPr>
              <w:t>条款号</w:t>
            </w:r>
          </w:p>
        </w:tc>
        <w:tc>
          <w:tcPr>
            <w:tcW w:w="1072" w:type="pct"/>
            <w:vAlign w:val="center"/>
          </w:tcPr>
          <w:p w14:paraId="192885FA">
            <w:pPr>
              <w:pStyle w:val="30"/>
              <w:widowControl w:val="0"/>
              <w:spacing w:before="0" w:beforeAutospacing="0" w:after="0" w:afterAutospacing="0"/>
              <w:rPr>
                <w:rFonts w:ascii="Times New Roman" w:hAnsi="Times New Roman" w:cs="Times New Roman" w:eastAsiaTheme="minorEastAsia"/>
                <w:bCs w:val="0"/>
                <w:kern w:val="2"/>
                <w:sz w:val="21"/>
                <w:szCs w:val="21"/>
              </w:rPr>
            </w:pPr>
            <w:r>
              <w:rPr>
                <w:rFonts w:ascii="Times New Roman" w:hAnsi="Times New Roman" w:cs="Times New Roman" w:eastAsiaTheme="minorEastAsia"/>
                <w:bCs w:val="0"/>
                <w:kern w:val="2"/>
                <w:sz w:val="21"/>
                <w:szCs w:val="21"/>
              </w:rPr>
              <w:t>条款名称</w:t>
            </w:r>
          </w:p>
        </w:tc>
        <w:tc>
          <w:tcPr>
            <w:tcW w:w="3350" w:type="pct"/>
            <w:vAlign w:val="center"/>
          </w:tcPr>
          <w:p w14:paraId="62B80485">
            <w:pPr>
              <w:pStyle w:val="30"/>
              <w:widowControl w:val="0"/>
              <w:spacing w:before="0" w:beforeAutospacing="0" w:after="0" w:afterAutospacing="0"/>
              <w:rPr>
                <w:rFonts w:ascii="Times New Roman" w:hAnsi="Times New Roman" w:cs="Times New Roman" w:eastAsiaTheme="minorEastAsia"/>
                <w:bCs w:val="0"/>
                <w:kern w:val="2"/>
                <w:sz w:val="21"/>
                <w:szCs w:val="21"/>
              </w:rPr>
            </w:pPr>
            <w:r>
              <w:rPr>
                <w:rFonts w:ascii="Times New Roman" w:hAnsi="Times New Roman" w:cs="Times New Roman" w:eastAsiaTheme="minorEastAsia"/>
                <w:bCs w:val="0"/>
                <w:kern w:val="2"/>
                <w:sz w:val="21"/>
                <w:szCs w:val="21"/>
              </w:rPr>
              <w:t>内容、说明与要求</w:t>
            </w:r>
          </w:p>
        </w:tc>
      </w:tr>
      <w:tr w14:paraId="2807D6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14:paraId="78BE7E18">
            <w:pPr>
              <w:pStyle w:val="31"/>
              <w:pBdr>
                <w:bottom w:val="none" w:color="auto" w:sz="0" w:space="0"/>
              </w:pBdr>
              <w:tabs>
                <w:tab w:val="clear" w:pos="4153"/>
                <w:tab w:val="clear" w:pos="8306"/>
              </w:tabs>
              <w:adjustRightInd/>
              <w:spacing w:line="240" w:lineRule="auto"/>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1</w:t>
            </w:r>
          </w:p>
        </w:tc>
        <w:tc>
          <w:tcPr>
            <w:tcW w:w="1072" w:type="pct"/>
            <w:vAlign w:val="center"/>
          </w:tcPr>
          <w:p w14:paraId="2286DC35">
            <w:pPr>
              <w:pStyle w:val="30"/>
              <w:widowControl w:val="0"/>
              <w:spacing w:before="0" w:beforeAutospacing="0" w:after="0" w:afterAutospacing="0"/>
              <w:jc w:val="left"/>
              <w:rPr>
                <w:rFonts w:ascii="Times New Roman" w:hAnsi="Times New Roman" w:cs="Times New Roman" w:eastAsiaTheme="minorEastAsia"/>
                <w:b w:val="0"/>
                <w:sz w:val="21"/>
                <w:szCs w:val="21"/>
              </w:rPr>
            </w:pPr>
            <w:r>
              <w:rPr>
                <w:rFonts w:hint="eastAsia" w:ascii="Times New Roman" w:hAnsi="Times New Roman" w:cs="Times New Roman" w:eastAsiaTheme="minorEastAsia"/>
                <w:b w:val="0"/>
                <w:sz w:val="21"/>
                <w:szCs w:val="21"/>
                <w:u w:val="none"/>
                <w:lang w:val="en-US" w:eastAsia="zh-CN"/>
              </w:rPr>
              <w:t>询价时间</w:t>
            </w:r>
          </w:p>
        </w:tc>
        <w:tc>
          <w:tcPr>
            <w:tcW w:w="3350" w:type="pct"/>
            <w:vAlign w:val="center"/>
          </w:tcPr>
          <w:p w14:paraId="2CBB8ED3">
            <w:pPr>
              <w:pStyle w:val="30"/>
              <w:widowControl w:val="0"/>
              <w:spacing w:before="0" w:beforeAutospacing="0" w:after="0" w:afterAutospacing="0"/>
              <w:jc w:val="both"/>
              <w:rPr>
                <w:rFonts w:hint="default" w:ascii="Times New Roman" w:hAnsi="Times New Roman" w:cs="Times New Roman" w:eastAsiaTheme="minorEastAsia"/>
                <w:b w:val="0"/>
                <w:sz w:val="21"/>
                <w:szCs w:val="21"/>
                <w:lang w:val="en-US" w:eastAsia="zh-CN"/>
              </w:rPr>
            </w:pPr>
            <w:r>
              <w:rPr>
                <w:rFonts w:hint="eastAsia" w:ascii="Times New Roman" w:hAnsi="Times New Roman" w:cs="Times New Roman"/>
                <w:b w:val="0"/>
                <w:sz w:val="21"/>
                <w:szCs w:val="21"/>
                <w:u w:val="none"/>
                <w:lang w:val="en-US" w:eastAsia="zh-CN"/>
              </w:rPr>
              <w:t>见询价公告</w:t>
            </w:r>
          </w:p>
        </w:tc>
      </w:tr>
      <w:tr w14:paraId="2E94A4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14:paraId="3BE0C4F2">
            <w:pPr>
              <w:pStyle w:val="31"/>
              <w:pBdr>
                <w:bottom w:val="none" w:color="auto" w:sz="0" w:space="0"/>
              </w:pBdr>
              <w:tabs>
                <w:tab w:val="clear" w:pos="4153"/>
                <w:tab w:val="clear" w:pos="8306"/>
              </w:tabs>
              <w:adjustRightInd/>
              <w:spacing w:line="240" w:lineRule="auto"/>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2</w:t>
            </w:r>
          </w:p>
        </w:tc>
        <w:tc>
          <w:tcPr>
            <w:tcW w:w="1072" w:type="pct"/>
            <w:vAlign w:val="center"/>
          </w:tcPr>
          <w:p w14:paraId="55555C55">
            <w:pPr>
              <w:pStyle w:val="30"/>
              <w:widowControl w:val="0"/>
              <w:spacing w:before="0" w:beforeAutospacing="0" w:after="0" w:afterAutospacing="0" w:line="360" w:lineRule="auto"/>
              <w:jc w:val="both"/>
              <w:rPr>
                <w:rFonts w:ascii="Times New Roman" w:hAnsi="Times New Roman" w:cs="Times New Roman" w:eastAsiaTheme="minorEastAsia"/>
                <w:b w:val="0"/>
                <w:sz w:val="21"/>
                <w:szCs w:val="21"/>
                <w:highlight w:val="none"/>
              </w:rPr>
            </w:pPr>
            <w:r>
              <w:rPr>
                <w:rFonts w:ascii="Times New Roman" w:hAnsi="Times New Roman" w:cs="Times New Roman" w:eastAsiaTheme="minorEastAsia"/>
                <w:b w:val="0"/>
                <w:sz w:val="21"/>
                <w:szCs w:val="21"/>
                <w:highlight w:val="none"/>
              </w:rPr>
              <w:t>询价有效期</w:t>
            </w:r>
          </w:p>
        </w:tc>
        <w:tc>
          <w:tcPr>
            <w:tcW w:w="3350" w:type="pct"/>
            <w:vAlign w:val="center"/>
          </w:tcPr>
          <w:p w14:paraId="2B8C2C9F">
            <w:pPr>
              <w:pStyle w:val="30"/>
              <w:widowControl w:val="0"/>
              <w:spacing w:before="0" w:beforeAutospacing="0" w:after="0" w:afterAutospacing="0" w:line="360" w:lineRule="auto"/>
              <w:jc w:val="both"/>
              <w:rPr>
                <w:rFonts w:ascii="Times New Roman" w:hAnsi="Times New Roman" w:cs="Times New Roman" w:eastAsiaTheme="minorEastAsia"/>
                <w:b w:val="0"/>
                <w:sz w:val="21"/>
                <w:szCs w:val="21"/>
                <w:highlight w:val="none"/>
              </w:rPr>
            </w:pPr>
            <w:r>
              <w:rPr>
                <w:rFonts w:ascii="Times New Roman" w:hAnsi="Times New Roman" w:cs="Times New Roman" w:eastAsiaTheme="minorEastAsia"/>
                <w:b w:val="0"/>
                <w:sz w:val="21"/>
                <w:szCs w:val="21"/>
                <w:highlight w:val="none"/>
                <w:u w:val="single"/>
              </w:rPr>
              <w:t xml:space="preserve"> </w:t>
            </w:r>
            <w:r>
              <w:rPr>
                <w:rFonts w:hint="eastAsia" w:ascii="Times New Roman" w:hAnsi="Times New Roman" w:cs="Times New Roman" w:eastAsiaTheme="minorEastAsia"/>
                <w:b w:val="0"/>
                <w:sz w:val="21"/>
                <w:szCs w:val="21"/>
                <w:highlight w:val="none"/>
                <w:u w:val="single"/>
                <w:lang w:val="en-US" w:eastAsia="zh-CN"/>
              </w:rPr>
              <w:t>90</w:t>
            </w:r>
            <w:r>
              <w:rPr>
                <w:rFonts w:ascii="Times New Roman" w:hAnsi="Times New Roman" w:cs="Times New Roman" w:eastAsiaTheme="minorEastAsia"/>
                <w:b w:val="0"/>
                <w:sz w:val="21"/>
                <w:szCs w:val="21"/>
                <w:highlight w:val="none"/>
                <w:u w:val="single"/>
              </w:rPr>
              <w:t xml:space="preserve"> </w:t>
            </w:r>
            <w:r>
              <w:rPr>
                <w:rFonts w:ascii="Times New Roman" w:hAnsi="Times New Roman" w:cs="Times New Roman" w:eastAsiaTheme="minorEastAsia"/>
                <w:b w:val="0"/>
                <w:sz w:val="21"/>
                <w:szCs w:val="21"/>
                <w:highlight w:val="none"/>
              </w:rPr>
              <w:t>日历日</w:t>
            </w:r>
          </w:p>
        </w:tc>
      </w:tr>
      <w:tr w14:paraId="1D4978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14:paraId="5F635B81">
            <w:pPr>
              <w:pStyle w:val="31"/>
              <w:pBdr>
                <w:bottom w:val="none" w:color="auto" w:sz="0" w:space="0"/>
              </w:pBdr>
              <w:tabs>
                <w:tab w:val="clear" w:pos="4153"/>
                <w:tab w:val="clear" w:pos="8306"/>
              </w:tabs>
              <w:adjustRightInd/>
              <w:spacing w:line="240" w:lineRule="auto"/>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3</w:t>
            </w:r>
          </w:p>
        </w:tc>
        <w:tc>
          <w:tcPr>
            <w:tcW w:w="1072" w:type="pct"/>
            <w:vAlign w:val="center"/>
          </w:tcPr>
          <w:p w14:paraId="19D70F1B">
            <w:pPr>
              <w:pStyle w:val="30"/>
              <w:widowControl w:val="0"/>
              <w:spacing w:before="0" w:beforeAutospacing="0" w:after="0" w:afterAutospacing="0" w:line="360" w:lineRule="auto"/>
              <w:jc w:val="both"/>
              <w:rPr>
                <w:rFonts w:ascii="Times New Roman" w:hAnsi="Times New Roman" w:cs="Times New Roman" w:eastAsiaTheme="minorEastAsia"/>
                <w:b w:val="0"/>
                <w:sz w:val="21"/>
                <w:szCs w:val="21"/>
              </w:rPr>
            </w:pPr>
            <w:r>
              <w:rPr>
                <w:rFonts w:ascii="Times New Roman" w:hAnsi="Times New Roman" w:cs="Times New Roman" w:eastAsiaTheme="minorEastAsia"/>
                <w:b w:val="0"/>
                <w:sz w:val="21"/>
                <w:szCs w:val="21"/>
              </w:rPr>
              <w:t>投标文件要求</w:t>
            </w:r>
          </w:p>
        </w:tc>
        <w:tc>
          <w:tcPr>
            <w:tcW w:w="3350" w:type="pct"/>
            <w:vAlign w:val="center"/>
          </w:tcPr>
          <w:p w14:paraId="7606B999">
            <w:pPr>
              <w:pStyle w:val="30"/>
              <w:widowControl w:val="0"/>
              <w:spacing w:before="0" w:beforeAutospacing="0" w:after="0" w:afterAutospacing="0" w:line="360" w:lineRule="auto"/>
              <w:jc w:val="both"/>
              <w:rPr>
                <w:rFonts w:ascii="Times New Roman" w:hAnsi="Times New Roman" w:cs="Times New Roman" w:eastAsiaTheme="minorEastAsia"/>
                <w:b w:val="0"/>
                <w:sz w:val="21"/>
                <w:szCs w:val="21"/>
              </w:rPr>
            </w:pPr>
            <w:r>
              <w:rPr>
                <w:rFonts w:ascii="Times New Roman" w:hAnsi="Times New Roman" w:cs="Times New Roman" w:eastAsiaTheme="minorEastAsia"/>
                <w:b w:val="0"/>
                <w:sz w:val="21"/>
                <w:szCs w:val="21"/>
                <w:u w:val="single"/>
              </w:rPr>
              <w:t>密封纸质投标文件</w:t>
            </w:r>
          </w:p>
        </w:tc>
      </w:tr>
      <w:tr w14:paraId="33C1E7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14:paraId="5420F5AF">
            <w:pPr>
              <w:pStyle w:val="31"/>
              <w:pBdr>
                <w:bottom w:val="none" w:color="auto" w:sz="0" w:space="0"/>
              </w:pBdr>
              <w:tabs>
                <w:tab w:val="clear" w:pos="4153"/>
                <w:tab w:val="clear" w:pos="8306"/>
              </w:tabs>
              <w:adjustRightInd/>
              <w:spacing w:line="240" w:lineRule="auto"/>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4</w:t>
            </w:r>
          </w:p>
        </w:tc>
        <w:tc>
          <w:tcPr>
            <w:tcW w:w="1072" w:type="pct"/>
            <w:vAlign w:val="center"/>
          </w:tcPr>
          <w:p w14:paraId="10CD3B83">
            <w:pPr>
              <w:pStyle w:val="30"/>
              <w:widowControl w:val="0"/>
              <w:spacing w:before="0" w:beforeAutospacing="0" w:after="0" w:afterAutospacing="0" w:line="360" w:lineRule="auto"/>
              <w:jc w:val="both"/>
              <w:rPr>
                <w:rFonts w:ascii="Times New Roman" w:hAnsi="Times New Roman" w:cs="Times New Roman" w:eastAsiaTheme="minorEastAsia"/>
                <w:b w:val="0"/>
                <w:sz w:val="21"/>
                <w:szCs w:val="21"/>
              </w:rPr>
            </w:pPr>
            <w:r>
              <w:rPr>
                <w:rFonts w:ascii="Times New Roman" w:hAnsi="Times New Roman" w:eastAsia="宋体" w:cs="Times New Roman"/>
                <w:b w:val="0"/>
                <w:sz w:val="21"/>
                <w:szCs w:val="21"/>
              </w:rPr>
              <w:t>确定中标人</w:t>
            </w:r>
          </w:p>
        </w:tc>
        <w:tc>
          <w:tcPr>
            <w:tcW w:w="3350" w:type="pct"/>
            <w:vAlign w:val="center"/>
          </w:tcPr>
          <w:p w14:paraId="3A2A0B20">
            <w:pPr>
              <w:pStyle w:val="30"/>
              <w:widowControl w:val="0"/>
              <w:numPr>
                <w:ilvl w:val="0"/>
                <w:numId w:val="1"/>
              </w:numPr>
              <w:spacing w:before="0" w:beforeAutospacing="0" w:after="0" w:afterAutospacing="0" w:line="360" w:lineRule="auto"/>
              <w:jc w:val="both"/>
              <w:rPr>
                <w:rFonts w:ascii="Times New Roman" w:hAnsi="Times New Roman" w:eastAsia="宋体" w:cs="Times New Roman"/>
                <w:b w:val="0"/>
                <w:sz w:val="21"/>
                <w:szCs w:val="21"/>
              </w:rPr>
            </w:pPr>
            <w:r>
              <w:rPr>
                <w:rFonts w:ascii="Times New Roman" w:hAnsi="Times New Roman" w:eastAsia="宋体" w:cs="Times New Roman"/>
                <w:b w:val="0"/>
                <w:sz w:val="21"/>
                <w:szCs w:val="21"/>
              </w:rPr>
              <w:t>评审小组推荐中标人的数量：不多于1家；</w:t>
            </w:r>
          </w:p>
          <w:p w14:paraId="0C626736">
            <w:pPr>
              <w:pStyle w:val="30"/>
              <w:widowControl w:val="0"/>
              <w:spacing w:before="0" w:beforeAutospacing="0" w:after="0" w:afterAutospacing="0" w:line="360" w:lineRule="auto"/>
              <w:jc w:val="both"/>
              <w:rPr>
                <w:rFonts w:ascii="Times New Roman" w:hAnsi="Times New Roman" w:eastAsia="宋体" w:cs="Times New Roman"/>
                <w:b w:val="0"/>
                <w:sz w:val="21"/>
                <w:szCs w:val="21"/>
              </w:rPr>
            </w:pPr>
            <w:r>
              <w:rPr>
                <w:rFonts w:ascii="Times New Roman" w:hAnsi="Times New Roman" w:eastAsia="宋体" w:cs="Times New Roman"/>
                <w:b w:val="0"/>
                <w:sz w:val="21"/>
                <w:szCs w:val="21"/>
              </w:rPr>
              <w:t>（2）确定中标人：</w:t>
            </w:r>
          </w:p>
          <w:p w14:paraId="53973701">
            <w:pPr>
              <w:pStyle w:val="30"/>
              <w:widowControl w:val="0"/>
              <w:spacing w:before="0" w:beforeAutospacing="0" w:after="0" w:afterAutospacing="0" w:line="360" w:lineRule="auto"/>
              <w:jc w:val="both"/>
              <w:rPr>
                <w:rFonts w:ascii="Times New Roman" w:hAnsi="Times New Roman" w:eastAsia="宋体" w:cs="Times New Roman"/>
                <w:b w:val="0"/>
                <w:sz w:val="21"/>
                <w:szCs w:val="21"/>
              </w:rPr>
            </w:pPr>
            <w:r>
              <w:rPr>
                <w:rFonts w:ascii="Times New Roman" w:hAnsi="Times New Roman" w:eastAsia="宋体" w:cs="Times New Roman"/>
                <w:b w:val="0"/>
                <w:sz w:val="21"/>
                <w:szCs w:val="21"/>
              </w:rPr>
              <w:sym w:font="Wingdings 2" w:char="0052"/>
            </w:r>
            <w:r>
              <w:rPr>
                <w:rFonts w:ascii="Times New Roman" w:hAnsi="Times New Roman" w:eastAsia="宋体" w:cs="Times New Roman"/>
                <w:b w:val="0"/>
                <w:sz w:val="21"/>
                <w:szCs w:val="21"/>
              </w:rPr>
              <w:t xml:space="preserve">招标人委托评审小组确定     </w:t>
            </w:r>
          </w:p>
          <w:p w14:paraId="22CFD835">
            <w:pPr>
              <w:pStyle w:val="30"/>
              <w:widowControl w:val="0"/>
              <w:spacing w:before="0" w:beforeAutospacing="0" w:after="0" w:afterAutospacing="0" w:line="360" w:lineRule="auto"/>
              <w:jc w:val="both"/>
              <w:rPr>
                <w:rFonts w:ascii="Times New Roman" w:hAnsi="Times New Roman" w:eastAsia="宋体" w:cs="Times New Roman"/>
                <w:b w:val="0"/>
                <w:sz w:val="21"/>
                <w:szCs w:val="21"/>
              </w:rPr>
            </w:pPr>
            <w:r>
              <w:rPr>
                <w:rFonts w:ascii="Times New Roman" w:hAnsi="Times New Roman" w:eastAsia="宋体" w:cs="Times New Roman"/>
                <w:b w:val="0"/>
                <w:sz w:val="21"/>
                <w:szCs w:val="21"/>
              </w:rPr>
              <w:sym w:font="Wingdings 2" w:char="00A3"/>
            </w:r>
            <w:r>
              <w:rPr>
                <w:rFonts w:ascii="Times New Roman" w:hAnsi="Times New Roman" w:eastAsia="宋体" w:cs="Times New Roman"/>
                <w:b w:val="0"/>
                <w:sz w:val="21"/>
                <w:szCs w:val="21"/>
              </w:rPr>
              <w:t>招标人确定</w:t>
            </w:r>
          </w:p>
        </w:tc>
      </w:tr>
      <w:tr w14:paraId="419DA7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14:paraId="5055461C">
            <w:pPr>
              <w:pStyle w:val="31"/>
              <w:pBdr>
                <w:bottom w:val="none" w:color="auto" w:sz="0" w:space="0"/>
              </w:pBdr>
              <w:tabs>
                <w:tab w:val="clear" w:pos="4153"/>
                <w:tab w:val="clear" w:pos="8306"/>
              </w:tabs>
              <w:adjustRightInd/>
              <w:spacing w:line="240" w:lineRule="auto"/>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5</w:t>
            </w:r>
          </w:p>
        </w:tc>
        <w:tc>
          <w:tcPr>
            <w:tcW w:w="1072" w:type="pct"/>
            <w:vAlign w:val="center"/>
          </w:tcPr>
          <w:p w14:paraId="421915C9">
            <w:pPr>
              <w:pStyle w:val="30"/>
              <w:widowControl w:val="0"/>
              <w:spacing w:before="0" w:beforeAutospacing="0" w:after="0" w:afterAutospacing="0" w:line="360" w:lineRule="auto"/>
              <w:jc w:val="both"/>
              <w:rPr>
                <w:rFonts w:ascii="Times New Roman" w:hAnsi="Times New Roman" w:cs="Times New Roman" w:eastAsiaTheme="minorEastAsia"/>
                <w:b w:val="0"/>
                <w:sz w:val="21"/>
                <w:szCs w:val="21"/>
              </w:rPr>
            </w:pPr>
            <w:r>
              <w:rPr>
                <w:rFonts w:ascii="Times New Roman" w:hAnsi="Times New Roman" w:eastAsia="宋体" w:cs="Times New Roman"/>
                <w:b w:val="0"/>
                <w:sz w:val="21"/>
                <w:szCs w:val="21"/>
              </w:rPr>
              <w:t>中标通知书发出的形式</w:t>
            </w:r>
          </w:p>
        </w:tc>
        <w:tc>
          <w:tcPr>
            <w:tcW w:w="3350" w:type="pct"/>
            <w:vAlign w:val="center"/>
          </w:tcPr>
          <w:p w14:paraId="3D160B4E">
            <w:pPr>
              <w:pStyle w:val="30"/>
              <w:widowControl w:val="0"/>
              <w:spacing w:before="0" w:beforeAutospacing="0" w:after="0" w:afterAutospacing="0" w:line="360" w:lineRule="auto"/>
              <w:jc w:val="both"/>
              <w:rPr>
                <w:rFonts w:ascii="Times New Roman" w:hAnsi="Times New Roman" w:eastAsia="宋体" w:cs="Times New Roman"/>
                <w:b w:val="0"/>
                <w:sz w:val="21"/>
                <w:szCs w:val="21"/>
              </w:rPr>
            </w:pPr>
            <w:r>
              <w:rPr>
                <w:rFonts w:ascii="Segoe UI Symbol" w:hAnsi="Segoe UI Symbol" w:eastAsia="宋体" w:cs="Segoe UI Symbol"/>
                <w:b w:val="0"/>
                <w:sz w:val="21"/>
                <w:szCs w:val="21"/>
              </w:rPr>
              <w:t>☑</w:t>
            </w:r>
            <w:r>
              <w:rPr>
                <w:rFonts w:ascii="Times New Roman" w:hAnsi="Times New Roman" w:eastAsia="宋体" w:cs="Times New Roman"/>
                <w:b w:val="0"/>
                <w:sz w:val="21"/>
                <w:szCs w:val="21"/>
              </w:rPr>
              <w:t xml:space="preserve">书面     </w:t>
            </w:r>
            <w:r>
              <w:rPr>
                <w:rFonts w:ascii="Times New Roman" w:hAnsi="Times New Roman" w:eastAsia="宋体" w:cs="Times New Roman"/>
                <w:b w:val="0"/>
                <w:sz w:val="21"/>
                <w:szCs w:val="21"/>
              </w:rPr>
              <w:sym w:font="Wingdings" w:char="00A8"/>
            </w:r>
            <w:r>
              <w:rPr>
                <w:rFonts w:ascii="Times New Roman" w:hAnsi="Times New Roman" w:eastAsia="宋体" w:cs="Times New Roman"/>
                <w:b w:val="0"/>
                <w:sz w:val="21"/>
                <w:szCs w:val="21"/>
              </w:rPr>
              <w:t>数据电文</w:t>
            </w:r>
          </w:p>
          <w:p w14:paraId="1AF176A3">
            <w:pPr>
              <w:spacing w:line="360" w:lineRule="auto"/>
              <w:rPr>
                <w:rFonts w:ascii="Times New Roman" w:hAnsi="Times New Roman" w:eastAsia="宋体" w:cs="Times New Roman"/>
                <w:szCs w:val="21"/>
              </w:rPr>
            </w:pPr>
            <w:r>
              <w:rPr>
                <w:rFonts w:ascii="Times New Roman" w:hAnsi="Times New Roman" w:eastAsia="宋体" w:cs="Times New Roman"/>
                <w:szCs w:val="21"/>
              </w:rPr>
              <w:t>特别提醒：</w:t>
            </w:r>
            <w:r>
              <w:rPr>
                <w:rFonts w:ascii="Times New Roman" w:hAnsi="Times New Roman" w:eastAsia="宋体" w:cs="Times New Roman"/>
                <w:b/>
                <w:bCs/>
                <w:kern w:val="0"/>
                <w:szCs w:val="21"/>
              </w:rPr>
              <w:t>招标人确定中标人后，通过书面向中标人发出中标通知书。</w:t>
            </w:r>
          </w:p>
        </w:tc>
      </w:tr>
      <w:tr w14:paraId="2B1DB1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14:paraId="17FCB96E">
            <w:pPr>
              <w:pStyle w:val="31"/>
              <w:pBdr>
                <w:bottom w:val="none" w:color="auto" w:sz="0" w:space="0"/>
              </w:pBdr>
              <w:tabs>
                <w:tab w:val="clear" w:pos="4153"/>
                <w:tab w:val="clear" w:pos="8306"/>
              </w:tabs>
              <w:adjustRightInd/>
              <w:spacing w:line="240" w:lineRule="auto"/>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6</w:t>
            </w:r>
          </w:p>
        </w:tc>
        <w:tc>
          <w:tcPr>
            <w:tcW w:w="1072" w:type="pct"/>
            <w:vAlign w:val="center"/>
          </w:tcPr>
          <w:p w14:paraId="51681D30">
            <w:pPr>
              <w:pStyle w:val="30"/>
              <w:widowControl w:val="0"/>
              <w:spacing w:before="0" w:beforeAutospacing="0" w:after="0" w:afterAutospacing="0" w:line="360" w:lineRule="auto"/>
              <w:jc w:val="both"/>
              <w:rPr>
                <w:rFonts w:ascii="Times New Roman" w:hAnsi="Times New Roman" w:eastAsia="宋体" w:cs="Times New Roman"/>
                <w:b w:val="0"/>
                <w:sz w:val="21"/>
                <w:szCs w:val="21"/>
              </w:rPr>
            </w:pPr>
            <w:r>
              <w:rPr>
                <w:rFonts w:ascii="Times New Roman" w:hAnsi="Times New Roman" w:eastAsia="宋体" w:cs="Times New Roman"/>
                <w:b w:val="0"/>
                <w:sz w:val="21"/>
                <w:szCs w:val="21"/>
              </w:rPr>
              <w:t>告知询价结果的形式</w:t>
            </w:r>
          </w:p>
        </w:tc>
        <w:tc>
          <w:tcPr>
            <w:tcW w:w="3350" w:type="pct"/>
            <w:vAlign w:val="center"/>
          </w:tcPr>
          <w:p w14:paraId="002D5369">
            <w:pPr>
              <w:pStyle w:val="30"/>
              <w:widowControl w:val="0"/>
              <w:spacing w:before="0" w:beforeAutospacing="0" w:after="0" w:afterAutospacing="0" w:line="360" w:lineRule="auto"/>
              <w:jc w:val="both"/>
              <w:rPr>
                <w:rFonts w:ascii="Times New Roman" w:hAnsi="Times New Roman" w:eastAsia="宋体" w:cs="Times New Roman"/>
                <w:b w:val="0"/>
                <w:bCs w:val="0"/>
                <w:sz w:val="21"/>
                <w:szCs w:val="21"/>
              </w:rPr>
            </w:pPr>
            <w:r>
              <w:rPr>
                <w:rFonts w:ascii="Times New Roman" w:hAnsi="Times New Roman" w:eastAsia="宋体" w:cs="Times New Roman"/>
                <w:b w:val="0"/>
                <w:bCs w:val="0"/>
                <w:sz w:val="21"/>
                <w:szCs w:val="21"/>
              </w:rPr>
              <w:t>投标人自行登录合肥文旅博览集团有限公司官网查看</w:t>
            </w:r>
          </w:p>
          <w:p w14:paraId="15DF79C3">
            <w:pPr>
              <w:pStyle w:val="30"/>
              <w:widowControl w:val="0"/>
              <w:spacing w:before="0" w:beforeAutospacing="0" w:after="0" w:afterAutospacing="0" w:line="360" w:lineRule="auto"/>
              <w:jc w:val="both"/>
              <w:rPr>
                <w:rFonts w:ascii="Times New Roman" w:hAnsi="Times New Roman" w:eastAsia="宋体" w:cs="Times New Roman"/>
                <w:b w:val="0"/>
                <w:bCs w:val="0"/>
                <w:sz w:val="21"/>
                <w:szCs w:val="21"/>
              </w:rPr>
            </w:pPr>
            <w:r>
              <w:rPr>
                <w:rFonts w:ascii="Times New Roman" w:hAnsi="Times New Roman" w:cs="Times New Roman" w:eastAsiaTheme="minorEastAsia"/>
                <w:sz w:val="21"/>
                <w:szCs w:val="21"/>
              </w:rPr>
              <w:t>注：</w:t>
            </w:r>
            <w:r>
              <w:rPr>
                <w:rFonts w:hint="eastAsia" w:ascii="Times New Roman" w:hAnsi="Times New Roman" w:cs="Times New Roman" w:eastAsiaTheme="minorEastAsia"/>
                <w:sz w:val="21"/>
                <w:szCs w:val="21"/>
              </w:rPr>
              <w:t>招标人</w:t>
            </w:r>
            <w:r>
              <w:rPr>
                <w:rFonts w:ascii="Times New Roman" w:hAnsi="Times New Roman" w:cs="Times New Roman" w:eastAsiaTheme="minorEastAsia"/>
                <w:sz w:val="21"/>
                <w:szCs w:val="21"/>
              </w:rPr>
              <w:t>对未中标的投标人不做未中标原因的解释。</w:t>
            </w:r>
          </w:p>
        </w:tc>
      </w:tr>
      <w:tr w14:paraId="7C51A2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14:paraId="0B1457B2">
            <w:pPr>
              <w:pStyle w:val="31"/>
              <w:pBdr>
                <w:bottom w:val="none" w:color="auto" w:sz="0" w:space="0"/>
              </w:pBdr>
              <w:tabs>
                <w:tab w:val="clear" w:pos="4153"/>
                <w:tab w:val="clear" w:pos="8306"/>
              </w:tabs>
              <w:adjustRightInd/>
              <w:spacing w:line="240" w:lineRule="auto"/>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7</w:t>
            </w:r>
          </w:p>
        </w:tc>
        <w:tc>
          <w:tcPr>
            <w:tcW w:w="1072" w:type="pct"/>
            <w:vAlign w:val="center"/>
          </w:tcPr>
          <w:p w14:paraId="1CCF0E28">
            <w:pPr>
              <w:pStyle w:val="30"/>
              <w:widowControl w:val="0"/>
              <w:spacing w:before="0" w:beforeAutospacing="0" w:after="0" w:afterAutospacing="0" w:line="360" w:lineRule="auto"/>
              <w:jc w:val="both"/>
              <w:rPr>
                <w:rFonts w:ascii="Times New Roman" w:hAnsi="Times New Roman" w:cs="Times New Roman" w:eastAsiaTheme="minorEastAsia"/>
                <w:b w:val="0"/>
                <w:sz w:val="21"/>
                <w:szCs w:val="21"/>
              </w:rPr>
            </w:pPr>
            <w:r>
              <w:rPr>
                <w:rFonts w:ascii="Times New Roman" w:hAnsi="Times New Roman" w:cs="Times New Roman" w:eastAsiaTheme="minorEastAsia"/>
                <w:b w:val="0"/>
                <w:sz w:val="21"/>
                <w:szCs w:val="21"/>
              </w:rPr>
              <w:t>履约保证金</w:t>
            </w:r>
          </w:p>
        </w:tc>
        <w:tc>
          <w:tcPr>
            <w:tcW w:w="3350" w:type="pct"/>
          </w:tcPr>
          <w:p w14:paraId="3C8A1071">
            <w:pPr>
              <w:spacing w:line="360" w:lineRule="auto"/>
              <w:rPr>
                <w:rFonts w:hint="eastAsia" w:ascii="Times New Roman" w:hAnsi="Times New Roman" w:eastAsia="宋体" w:cs="Times New Roman"/>
                <w:bCs/>
                <w:kern w:val="0"/>
                <w:szCs w:val="21"/>
                <w:lang w:eastAsia="zh-CN"/>
              </w:rPr>
            </w:pPr>
            <w:r>
              <w:rPr>
                <w:rFonts w:ascii="Times New Roman" w:hAnsi="Times New Roman" w:eastAsia="宋体" w:cs="Times New Roman"/>
                <w:bCs/>
                <w:kern w:val="0"/>
                <w:szCs w:val="21"/>
              </w:rPr>
              <w:t>（1）金额：</w:t>
            </w:r>
          </w:p>
          <w:p w14:paraId="06417774">
            <w:pPr>
              <w:spacing w:line="360" w:lineRule="auto"/>
              <w:rPr>
                <w:rFonts w:ascii="Times New Roman" w:hAnsi="Times New Roman" w:eastAsia="宋体" w:cs="Times New Roman"/>
                <w:bCs/>
                <w:kern w:val="0"/>
                <w:szCs w:val="21"/>
              </w:rPr>
            </w:pPr>
            <w:r>
              <w:rPr>
                <w:rFonts w:hint="eastAsia" w:ascii="Times New Roman" w:hAnsi="Times New Roman" w:eastAsia="宋体" w:cs="Times New Roman"/>
                <w:bCs/>
                <w:kern w:val="0"/>
                <w:szCs w:val="21"/>
                <w:lang w:eastAsia="zh-CN"/>
              </w:rPr>
              <w:t>☑</w:t>
            </w:r>
            <w:r>
              <w:rPr>
                <w:rFonts w:ascii="Times New Roman" w:hAnsi="Times New Roman" w:eastAsia="宋体" w:cs="Times New Roman"/>
                <w:bCs/>
                <w:kern w:val="0"/>
                <w:szCs w:val="21"/>
              </w:rPr>
              <w:t>免收</w:t>
            </w:r>
          </w:p>
          <w:p w14:paraId="6B70ACFF">
            <w:pPr>
              <w:spacing w:line="360" w:lineRule="auto"/>
              <w:rPr>
                <w:rFonts w:ascii="Times New Roman" w:hAnsi="Times New Roman" w:eastAsia="宋体" w:cs="Times New Roman"/>
                <w:bCs/>
                <w:kern w:val="0"/>
                <w:szCs w:val="21"/>
              </w:rPr>
            </w:pPr>
            <w:r>
              <w:rPr>
                <w:rFonts w:ascii="Times New Roman" w:hAnsi="Times New Roman" w:eastAsia="宋体" w:cs="Times New Roman"/>
                <w:bCs/>
                <w:kern w:val="0"/>
                <w:szCs w:val="21"/>
              </w:rPr>
              <w:t>□合同价的</w:t>
            </w:r>
            <w:r>
              <w:rPr>
                <w:rFonts w:ascii="Times New Roman" w:hAnsi="Times New Roman" w:eastAsia="宋体" w:cs="Times New Roman"/>
                <w:bCs/>
                <w:kern w:val="0"/>
                <w:szCs w:val="21"/>
                <w:u w:val="single"/>
              </w:rPr>
              <w:t xml:space="preserve">   </w:t>
            </w:r>
            <w:r>
              <w:rPr>
                <w:rFonts w:ascii="Times New Roman" w:hAnsi="Times New Roman" w:eastAsia="宋体" w:cs="Times New Roman"/>
                <w:bCs/>
                <w:kern w:val="0"/>
                <w:szCs w:val="21"/>
              </w:rPr>
              <w:t>%</w:t>
            </w:r>
          </w:p>
          <w:p w14:paraId="12CCE3C0">
            <w:pPr>
              <w:spacing w:line="360" w:lineRule="auto"/>
              <w:rPr>
                <w:rFonts w:ascii="Times New Roman" w:hAnsi="Times New Roman" w:eastAsia="宋体" w:cs="Times New Roman"/>
                <w:bCs/>
                <w:kern w:val="0"/>
                <w:szCs w:val="21"/>
              </w:rPr>
            </w:pPr>
            <w:r>
              <w:rPr>
                <w:rFonts w:ascii="Times New Roman" w:hAnsi="Times New Roman" w:eastAsia="宋体" w:cs="Times New Roman"/>
                <w:bCs/>
                <w:kern w:val="0"/>
                <w:szCs w:val="21"/>
              </w:rPr>
              <w:t>□定额收取：人民币</w:t>
            </w:r>
            <w:r>
              <w:rPr>
                <w:rFonts w:ascii="Times New Roman" w:hAnsi="Times New Roman" w:eastAsia="宋体" w:cs="Times New Roman"/>
                <w:bCs/>
                <w:kern w:val="0"/>
                <w:szCs w:val="21"/>
                <w:u w:val="single"/>
              </w:rPr>
              <w:t xml:space="preserve">              </w:t>
            </w:r>
            <w:r>
              <w:rPr>
                <w:rFonts w:ascii="Times New Roman" w:hAnsi="Times New Roman" w:eastAsia="宋体" w:cs="Times New Roman"/>
                <w:bCs/>
                <w:kern w:val="0"/>
                <w:szCs w:val="21"/>
              </w:rPr>
              <w:t>元</w:t>
            </w:r>
          </w:p>
          <w:p w14:paraId="7787D7F8">
            <w:pPr>
              <w:spacing w:line="360" w:lineRule="auto"/>
              <w:rPr>
                <w:rFonts w:ascii="Times New Roman" w:hAnsi="Times New Roman" w:eastAsia="宋体" w:cs="Times New Roman"/>
                <w:bCs/>
                <w:kern w:val="0"/>
                <w:szCs w:val="21"/>
              </w:rPr>
            </w:pPr>
            <w:r>
              <w:rPr>
                <w:rFonts w:ascii="Times New Roman" w:hAnsi="Times New Roman" w:eastAsia="宋体" w:cs="Times New Roman"/>
                <w:bCs/>
                <w:kern w:val="0"/>
                <w:szCs w:val="21"/>
              </w:rPr>
              <w:t>（2）支付方式：转账</w:t>
            </w:r>
          </w:p>
          <w:p w14:paraId="6CD11E29">
            <w:pPr>
              <w:spacing w:line="360" w:lineRule="auto"/>
              <w:rPr>
                <w:rFonts w:ascii="Times New Roman" w:hAnsi="Times New Roman" w:eastAsia="宋体" w:cs="Times New Roman"/>
                <w:bCs/>
                <w:kern w:val="0"/>
                <w:szCs w:val="21"/>
                <w:u w:val="single"/>
              </w:rPr>
            </w:pPr>
            <w:r>
              <w:rPr>
                <w:rFonts w:ascii="Times New Roman" w:hAnsi="Times New Roman" w:eastAsia="宋体" w:cs="Times New Roman"/>
                <w:bCs/>
                <w:kern w:val="0"/>
                <w:szCs w:val="21"/>
              </w:rPr>
              <w:t>（3）收取单位：</w:t>
            </w:r>
            <w:r>
              <w:rPr>
                <w:rFonts w:ascii="Times New Roman" w:hAnsi="Times New Roman" w:eastAsia="宋体" w:cs="Times New Roman"/>
                <w:bCs/>
                <w:kern w:val="0"/>
                <w:szCs w:val="21"/>
                <w:u w:val="single"/>
              </w:rPr>
              <w:t xml:space="preserve">                   </w:t>
            </w:r>
          </w:p>
          <w:p w14:paraId="1F2394DE">
            <w:pPr>
              <w:spacing w:line="360" w:lineRule="auto"/>
              <w:rPr>
                <w:rFonts w:ascii="Times New Roman" w:hAnsi="Times New Roman" w:eastAsia="宋体" w:cs="Times New Roman"/>
                <w:bCs/>
                <w:kern w:val="0"/>
                <w:szCs w:val="21"/>
                <w:u w:val="single"/>
              </w:rPr>
            </w:pPr>
            <w:r>
              <w:rPr>
                <w:rFonts w:ascii="Times New Roman" w:hAnsi="Times New Roman" w:eastAsia="宋体" w:cs="Times New Roman"/>
                <w:bCs/>
                <w:kern w:val="0"/>
                <w:szCs w:val="21"/>
              </w:rPr>
              <w:t>（4）缴纳时间：</w:t>
            </w:r>
            <w:r>
              <w:rPr>
                <w:rFonts w:ascii="Times New Roman" w:hAnsi="Times New Roman" w:eastAsia="宋体" w:cs="Times New Roman"/>
                <w:bCs/>
                <w:kern w:val="0"/>
                <w:szCs w:val="21"/>
                <w:u w:val="single"/>
              </w:rPr>
              <w:t xml:space="preserve"> 合同签订前 </w:t>
            </w:r>
          </w:p>
          <w:p w14:paraId="09FD7BB5">
            <w:pPr>
              <w:spacing w:line="360" w:lineRule="auto"/>
              <w:rPr>
                <w:rFonts w:ascii="Times New Roman" w:hAnsi="Times New Roman" w:cs="Times New Roman" w:eastAsiaTheme="minorEastAsia"/>
                <w:szCs w:val="21"/>
              </w:rPr>
            </w:pPr>
            <w:r>
              <w:rPr>
                <w:rFonts w:ascii="Times New Roman" w:hAnsi="Times New Roman" w:eastAsia="宋体" w:cs="Times New Roman"/>
                <w:szCs w:val="21"/>
              </w:rPr>
              <w:t>（5）退还时间：验收合格后</w:t>
            </w:r>
            <w:r>
              <w:rPr>
                <w:rFonts w:ascii="Times New Roman" w:hAnsi="Times New Roman" w:eastAsia="宋体" w:cs="Times New Roman"/>
                <w:szCs w:val="21"/>
                <w:u w:val="single"/>
              </w:rPr>
              <w:t xml:space="preserve">     </w:t>
            </w:r>
            <w:r>
              <w:rPr>
                <w:rFonts w:ascii="Times New Roman" w:hAnsi="Times New Roman" w:eastAsia="宋体" w:cs="Times New Roman"/>
                <w:szCs w:val="21"/>
              </w:rPr>
              <w:t>日历日/年</w:t>
            </w:r>
          </w:p>
        </w:tc>
      </w:tr>
      <w:tr w14:paraId="19E332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14:paraId="7D86A7EB">
            <w:pPr>
              <w:pStyle w:val="30"/>
              <w:widowControl w:val="0"/>
              <w:spacing w:before="0" w:beforeAutospacing="0" w:after="0" w:afterAutospacing="0" w:line="360" w:lineRule="auto"/>
              <w:rPr>
                <w:rFonts w:ascii="Times New Roman" w:hAnsi="Times New Roman" w:cs="Times New Roman" w:eastAsiaTheme="minorEastAsia"/>
                <w:b w:val="0"/>
                <w:sz w:val="21"/>
                <w:szCs w:val="21"/>
              </w:rPr>
            </w:pPr>
            <w:r>
              <w:rPr>
                <w:rFonts w:ascii="Times New Roman" w:hAnsi="Times New Roman" w:cs="Times New Roman" w:eastAsiaTheme="minorEastAsia"/>
                <w:b w:val="0"/>
                <w:sz w:val="21"/>
                <w:szCs w:val="21"/>
              </w:rPr>
              <w:t>8</w:t>
            </w:r>
          </w:p>
        </w:tc>
        <w:tc>
          <w:tcPr>
            <w:tcW w:w="1072" w:type="pct"/>
            <w:vAlign w:val="center"/>
          </w:tcPr>
          <w:p w14:paraId="53D9DD25">
            <w:pPr>
              <w:spacing w:line="360" w:lineRule="auto"/>
              <w:rPr>
                <w:rFonts w:ascii="Times New Roman" w:hAnsi="Times New Roman" w:cs="Times New Roman" w:eastAsiaTheme="minorEastAsia"/>
                <w:szCs w:val="21"/>
              </w:rPr>
            </w:pPr>
            <w:r>
              <w:rPr>
                <w:rFonts w:ascii="Times New Roman" w:hAnsi="Times New Roman" w:eastAsia="宋体" w:cs="Times New Roman"/>
                <w:szCs w:val="21"/>
              </w:rPr>
              <w:t>报价须知</w:t>
            </w:r>
          </w:p>
        </w:tc>
        <w:tc>
          <w:tcPr>
            <w:tcW w:w="3350" w:type="pct"/>
            <w:vAlign w:val="center"/>
          </w:tcPr>
          <w:p w14:paraId="2F415A30">
            <w:pPr>
              <w:spacing w:line="360" w:lineRule="auto"/>
              <w:rPr>
                <w:rFonts w:ascii="Times New Roman" w:hAnsi="Times New Roman" w:eastAsia="宋体" w:cs="Times New Roman"/>
                <w:szCs w:val="21"/>
              </w:rPr>
            </w:pPr>
            <w:r>
              <w:rPr>
                <w:rFonts w:ascii="Times New Roman" w:hAnsi="Times New Roman" w:eastAsia="宋体" w:cs="Times New Roman"/>
                <w:szCs w:val="21"/>
              </w:rPr>
              <w:t>（1）投标人的报价应包含</w:t>
            </w:r>
            <w:r>
              <w:rPr>
                <w:rFonts w:hint="eastAsia" w:ascii="Times New Roman" w:hAnsi="Times New Roman" w:eastAsia="宋体" w:cs="Times New Roman"/>
                <w:szCs w:val="21"/>
                <w:lang w:val="en-US" w:eastAsia="zh-CN"/>
              </w:rPr>
              <w:t>但不限于</w:t>
            </w:r>
            <w:r>
              <w:rPr>
                <w:rFonts w:ascii="Times New Roman" w:hAnsi="Times New Roman" w:eastAsia="宋体" w:cs="Times New Roman"/>
                <w:szCs w:val="21"/>
              </w:rPr>
              <w:t>所投</w:t>
            </w:r>
            <w:r>
              <w:rPr>
                <w:rFonts w:hint="default" w:ascii="Times New Roman" w:hAnsi="Times New Roman" w:eastAsia="宋体" w:cs="Times New Roman"/>
                <w:szCs w:val="21"/>
                <w:lang w:eastAsia="zh-CN"/>
              </w:rPr>
              <w:t>服务</w:t>
            </w:r>
            <w:r>
              <w:rPr>
                <w:rFonts w:ascii="Times New Roman" w:hAnsi="Times New Roman" w:eastAsia="宋体" w:cs="Times New Roman"/>
                <w:szCs w:val="21"/>
              </w:rPr>
              <w:t>的</w:t>
            </w:r>
            <w:r>
              <w:rPr>
                <w:rFonts w:hint="default" w:ascii="Times New Roman" w:hAnsi="Times New Roman" w:eastAsia="宋体" w:cs="Times New Roman"/>
                <w:spacing w:val="0"/>
                <w:sz w:val="21"/>
                <w:szCs w:val="21"/>
                <w:lang w:val="en-US" w:eastAsia="zh-CN"/>
              </w:rPr>
              <w:t>人工费、保险费、福利费</w:t>
            </w:r>
            <w:r>
              <w:rPr>
                <w:rFonts w:hint="eastAsia" w:asciiTheme="minorEastAsia" w:hAnsiTheme="minorEastAsia" w:eastAsiaTheme="minorEastAsia" w:cstheme="minorEastAsia"/>
                <w:spacing w:val="6"/>
                <w:sz w:val="21"/>
                <w:szCs w:val="21"/>
                <w:lang w:val="en-US" w:eastAsia="zh-CN"/>
              </w:rPr>
              <w:t>、审计费、利润、税金及完成项目应有的全部费用</w:t>
            </w:r>
            <w:r>
              <w:rPr>
                <w:rFonts w:ascii="Times New Roman" w:hAnsi="Times New Roman" w:eastAsia="宋体" w:cs="Times New Roman"/>
                <w:szCs w:val="21"/>
              </w:rPr>
              <w:t>。</w:t>
            </w:r>
          </w:p>
          <w:p w14:paraId="2EEC81E4">
            <w:pPr>
              <w:spacing w:line="360" w:lineRule="auto"/>
              <w:rPr>
                <w:rFonts w:ascii="Times New Roman" w:hAnsi="Times New Roman" w:eastAsia="宋体" w:cs="Times New Roman"/>
                <w:szCs w:val="21"/>
              </w:rPr>
            </w:pPr>
            <w:r>
              <w:rPr>
                <w:rFonts w:ascii="Times New Roman" w:hAnsi="Times New Roman" w:eastAsia="宋体" w:cs="Times New Roman"/>
                <w:szCs w:val="21"/>
              </w:rPr>
              <w:t>（2）投标人投标报价不得高于询价文件（公告）列明的项目预算、最高投标限价，否则其投标文件将被否决。</w:t>
            </w:r>
          </w:p>
          <w:p w14:paraId="23DC2D73">
            <w:pPr>
              <w:spacing w:line="360" w:lineRule="auto"/>
              <w:rPr>
                <w:rFonts w:ascii="Times New Roman" w:hAnsi="Times New Roman" w:cs="Times New Roman" w:eastAsiaTheme="minorEastAsia"/>
                <w:szCs w:val="21"/>
              </w:rPr>
            </w:pPr>
            <w:r>
              <w:rPr>
                <w:rFonts w:ascii="Times New Roman" w:hAnsi="Times New Roman" w:eastAsia="宋体" w:cs="Times New Roman"/>
                <w:szCs w:val="21"/>
              </w:rPr>
              <w:t>（</w:t>
            </w:r>
            <w:r>
              <w:rPr>
                <w:rFonts w:ascii="Times New Roman" w:hAnsi="Times New Roman" w:cs="Times New Roman"/>
                <w:szCs w:val="21"/>
              </w:rPr>
              <w:t>3</w:t>
            </w:r>
            <w:r>
              <w:rPr>
                <w:rFonts w:ascii="Times New Roman" w:hAnsi="Times New Roman" w:eastAsia="宋体" w:cs="Times New Roman"/>
                <w:szCs w:val="21"/>
              </w:rPr>
              <w:t>）在项目过程中，投标人最终投标报价与公布的最高投标限价或项目预算相比降幅过小，或投标人最终投标报价明显缺乏竞争性的，评审小组可以否决其投标。</w:t>
            </w:r>
          </w:p>
        </w:tc>
      </w:tr>
      <w:tr w14:paraId="1CB3EC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14:paraId="07FDDE37">
            <w:pPr>
              <w:pStyle w:val="30"/>
              <w:widowControl w:val="0"/>
              <w:spacing w:before="0" w:beforeAutospacing="0" w:after="0" w:afterAutospacing="0" w:line="360" w:lineRule="auto"/>
              <w:rPr>
                <w:rFonts w:ascii="Times New Roman" w:hAnsi="Times New Roman" w:cs="Times New Roman" w:eastAsiaTheme="minorEastAsia"/>
                <w:b w:val="0"/>
                <w:sz w:val="21"/>
                <w:szCs w:val="21"/>
              </w:rPr>
            </w:pPr>
            <w:r>
              <w:rPr>
                <w:rFonts w:ascii="Times New Roman" w:hAnsi="Times New Roman" w:cs="Times New Roman" w:eastAsiaTheme="minorEastAsia"/>
                <w:b w:val="0"/>
                <w:sz w:val="21"/>
                <w:szCs w:val="21"/>
              </w:rPr>
              <w:t>9</w:t>
            </w:r>
          </w:p>
        </w:tc>
        <w:tc>
          <w:tcPr>
            <w:tcW w:w="1072" w:type="pct"/>
            <w:vAlign w:val="center"/>
          </w:tcPr>
          <w:p w14:paraId="542AD7FB">
            <w:pPr>
              <w:spacing w:line="360" w:lineRule="auto"/>
              <w:rPr>
                <w:rFonts w:ascii="Times New Roman" w:hAnsi="Times New Roman" w:eastAsia="宋体" w:cs="Times New Roman"/>
                <w:szCs w:val="21"/>
              </w:rPr>
            </w:pPr>
            <w:r>
              <w:rPr>
                <w:rFonts w:ascii="Times New Roman" w:hAnsi="Times New Roman" w:eastAsia="宋体" w:cs="Times New Roman"/>
                <w:szCs w:val="21"/>
              </w:rPr>
              <w:t>便利化服务</w:t>
            </w:r>
          </w:p>
        </w:tc>
        <w:tc>
          <w:tcPr>
            <w:tcW w:w="3350" w:type="pct"/>
            <w:vAlign w:val="center"/>
          </w:tcPr>
          <w:p w14:paraId="734B71C6">
            <w:pPr>
              <w:spacing w:line="360" w:lineRule="auto"/>
              <w:rPr>
                <w:rFonts w:hint="eastAsia" w:ascii="Times New Roman" w:hAnsi="Times New Roman" w:eastAsia="宋体" w:cs="Times New Roman"/>
                <w:szCs w:val="21"/>
                <w:lang w:eastAsia="zh-CN"/>
              </w:rPr>
            </w:pPr>
            <w:r>
              <w:rPr>
                <w:rFonts w:ascii="Times New Roman" w:hAnsi="Times New Roman" w:eastAsia="宋体" w:cs="Times New Roman"/>
                <w:szCs w:val="21"/>
              </w:rPr>
              <w:t>本项目是否要求便利化服务能力：</w:t>
            </w:r>
          </w:p>
          <w:p w14:paraId="0BBBBAA6">
            <w:pPr>
              <w:spacing w:line="360" w:lineRule="auto"/>
              <w:rPr>
                <w:rFonts w:ascii="Times New Roman" w:hAnsi="Times New Roman" w:eastAsia="宋体" w:cs="Times New Roman"/>
                <w:szCs w:val="21"/>
              </w:rPr>
            </w:pPr>
            <w:r>
              <w:rPr>
                <w:rFonts w:ascii="Times New Roman" w:hAnsi="Times New Roman" w:eastAsia="宋体" w:cs="Times New Roman"/>
                <w:szCs w:val="21"/>
              </w:rPr>
              <w:t xml:space="preserve">□要求  </w:t>
            </w:r>
            <w:r>
              <w:rPr>
                <w:rFonts w:hint="eastAsia" w:ascii="Times New Roman" w:hAnsi="Times New Roman" w:eastAsia="宋体" w:cs="Times New Roman"/>
                <w:szCs w:val="21"/>
                <w:lang w:eastAsia="zh-CN"/>
              </w:rPr>
              <w:t>☑</w:t>
            </w:r>
            <w:r>
              <w:rPr>
                <w:rFonts w:ascii="Times New Roman" w:hAnsi="Times New Roman" w:eastAsia="宋体" w:cs="Times New Roman"/>
                <w:szCs w:val="21"/>
              </w:rPr>
              <w:t>不要求</w:t>
            </w:r>
          </w:p>
          <w:p w14:paraId="0A05A3B5">
            <w:pPr>
              <w:spacing w:line="360" w:lineRule="auto"/>
              <w:rPr>
                <w:rFonts w:ascii="Times New Roman" w:hAnsi="Times New Roman" w:eastAsia="宋体" w:cs="Times New Roman"/>
                <w:szCs w:val="21"/>
              </w:rPr>
            </w:pPr>
            <w:r>
              <w:rPr>
                <w:rFonts w:ascii="Times New Roman" w:hAnsi="Times New Roman" w:eastAsia="宋体" w:cs="Times New Roman"/>
                <w:szCs w:val="21"/>
              </w:rPr>
              <w:t>便利化服务的能力是指具有下列条件之一：</w:t>
            </w:r>
          </w:p>
          <w:p w14:paraId="006FBE87">
            <w:pPr>
              <w:spacing w:line="360" w:lineRule="auto"/>
              <w:rPr>
                <w:rFonts w:ascii="Times New Roman" w:hAnsi="Times New Roman" w:eastAsia="宋体" w:cs="Times New Roman"/>
                <w:szCs w:val="21"/>
              </w:rPr>
            </w:pPr>
            <w:r>
              <w:rPr>
                <w:rFonts w:ascii="Times New Roman" w:hAnsi="Times New Roman" w:eastAsia="宋体" w:cs="Times New Roman"/>
                <w:szCs w:val="21"/>
              </w:rPr>
              <w:t>（1）在合肥行政区域范围（含四县一市）具有固定的办公场所及人员；</w:t>
            </w:r>
          </w:p>
          <w:p w14:paraId="4C6FD9AA">
            <w:pPr>
              <w:spacing w:line="360" w:lineRule="auto"/>
              <w:rPr>
                <w:rFonts w:ascii="Times New Roman" w:hAnsi="Times New Roman" w:eastAsia="宋体" w:cs="Times New Roman"/>
                <w:szCs w:val="21"/>
              </w:rPr>
            </w:pPr>
            <w:r>
              <w:rPr>
                <w:rFonts w:ascii="Times New Roman" w:hAnsi="Times New Roman" w:eastAsia="宋体" w:cs="Times New Roman"/>
                <w:szCs w:val="21"/>
              </w:rPr>
              <w:t>（2）投标人在合肥行政区域范围（含四县一市）注册成立的；</w:t>
            </w:r>
          </w:p>
          <w:p w14:paraId="6C9A6C1D">
            <w:pPr>
              <w:spacing w:line="360" w:lineRule="auto"/>
              <w:rPr>
                <w:rFonts w:ascii="Times New Roman" w:hAnsi="Times New Roman" w:eastAsia="宋体" w:cs="Times New Roman"/>
                <w:szCs w:val="21"/>
              </w:rPr>
            </w:pPr>
            <w:r>
              <w:rPr>
                <w:rFonts w:ascii="Times New Roman" w:hAnsi="Times New Roman" w:eastAsia="宋体" w:cs="Times New Roman"/>
                <w:szCs w:val="21"/>
              </w:rPr>
              <w:t>（3）承诺中标即在合肥行政区域范围（含四县一市）设立服务机构，或委托相关单位作为服务机构；</w:t>
            </w:r>
          </w:p>
          <w:p w14:paraId="23FDFF7E">
            <w:pPr>
              <w:spacing w:line="360" w:lineRule="auto"/>
              <w:rPr>
                <w:rFonts w:ascii="Times New Roman" w:hAnsi="Times New Roman" w:eastAsia="宋体" w:cs="Times New Roman"/>
                <w:szCs w:val="21"/>
              </w:rPr>
            </w:pPr>
            <w:r>
              <w:rPr>
                <w:rFonts w:ascii="Times New Roman" w:hAnsi="Times New Roman" w:eastAsia="宋体" w:cs="Times New Roman"/>
                <w:szCs w:val="21"/>
              </w:rPr>
              <w:t>（4）委托相关单位作为服务机构。</w:t>
            </w:r>
          </w:p>
        </w:tc>
      </w:tr>
      <w:tr w14:paraId="7DE815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14:paraId="0D2E37B4">
            <w:pPr>
              <w:pStyle w:val="31"/>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10</w:t>
            </w:r>
          </w:p>
        </w:tc>
        <w:tc>
          <w:tcPr>
            <w:tcW w:w="1072" w:type="pct"/>
            <w:vAlign w:val="center"/>
          </w:tcPr>
          <w:p w14:paraId="237F519A">
            <w:pPr>
              <w:pStyle w:val="30"/>
              <w:widowControl w:val="0"/>
              <w:spacing w:before="0" w:beforeAutospacing="0" w:after="0" w:afterAutospacing="0" w:line="360" w:lineRule="auto"/>
              <w:jc w:val="both"/>
              <w:rPr>
                <w:rFonts w:ascii="Times New Roman" w:hAnsi="Times New Roman" w:cs="Times New Roman" w:eastAsiaTheme="minorEastAsia"/>
                <w:b w:val="0"/>
                <w:sz w:val="21"/>
                <w:szCs w:val="21"/>
              </w:rPr>
            </w:pPr>
            <w:r>
              <w:rPr>
                <w:rFonts w:ascii="Times New Roman" w:hAnsi="Times New Roman" w:cs="Times New Roman" w:eastAsiaTheme="minorEastAsia"/>
                <w:b w:val="0"/>
                <w:sz w:val="21"/>
                <w:szCs w:val="21"/>
              </w:rPr>
              <w:t>本项目提供除询价文件以外的其他资料</w:t>
            </w:r>
          </w:p>
        </w:tc>
        <w:tc>
          <w:tcPr>
            <w:tcW w:w="3350" w:type="pct"/>
            <w:vAlign w:val="center"/>
          </w:tcPr>
          <w:p w14:paraId="1778EC3F">
            <w:pPr>
              <w:spacing w:line="360" w:lineRule="auto"/>
              <w:rPr>
                <w:rFonts w:ascii="Times New Roman" w:hAnsi="Times New Roman" w:cs="Times New Roman" w:eastAsiaTheme="minorEastAsia"/>
                <w:szCs w:val="21"/>
                <w:u w:val="single"/>
              </w:rPr>
            </w:pPr>
            <w:r>
              <w:rPr>
                <w:rFonts w:hint="eastAsia" w:ascii="Times New Roman" w:hAnsi="Times New Roman" w:cs="Times New Roman"/>
                <w:bCs/>
                <w:szCs w:val="21"/>
                <w:lang w:eastAsia="zh-CN"/>
              </w:rPr>
              <w:t>☑</w:t>
            </w:r>
            <w:r>
              <w:rPr>
                <w:rFonts w:ascii="Times New Roman" w:hAnsi="Times New Roman" w:cs="Times New Roman" w:eastAsiaTheme="minorEastAsia"/>
                <w:szCs w:val="21"/>
              </w:rPr>
              <w:t>无   □</w:t>
            </w:r>
            <w:r>
              <w:rPr>
                <w:rFonts w:ascii="Times New Roman" w:hAnsi="Times New Roman" w:eastAsia="宋体" w:cs="Times New Roman"/>
                <w:bCs/>
                <w:szCs w:val="21"/>
              </w:rPr>
              <w:t>采购清单</w:t>
            </w:r>
            <w:r>
              <w:rPr>
                <w:rFonts w:ascii="Times New Roman" w:hAnsi="Times New Roman" w:cs="Times New Roman" w:eastAsiaTheme="minorEastAsia"/>
                <w:szCs w:val="21"/>
              </w:rPr>
              <w:t xml:space="preserve">   □</w:t>
            </w:r>
            <w:r>
              <w:rPr>
                <w:rFonts w:ascii="Times New Roman" w:hAnsi="Times New Roman" w:cs="Times New Roman" w:eastAsiaTheme="minorEastAsia"/>
                <w:szCs w:val="21"/>
                <w:u w:val="single"/>
              </w:rPr>
              <w:t xml:space="preserve">   </w:t>
            </w:r>
          </w:p>
          <w:p w14:paraId="18BE1930">
            <w:pPr>
              <w:spacing w:line="360" w:lineRule="auto"/>
              <w:rPr>
                <w:rFonts w:ascii="Times New Roman" w:hAnsi="Times New Roman" w:cs="Times New Roman" w:eastAsiaTheme="minorEastAsia"/>
                <w:bCs/>
                <w:szCs w:val="21"/>
              </w:rPr>
            </w:pPr>
            <w:r>
              <w:rPr>
                <w:rFonts w:ascii="Times New Roman" w:hAnsi="Times New Roman" w:cs="Times New Roman" w:eastAsiaTheme="minorEastAsia"/>
                <w:bCs/>
                <w:szCs w:val="21"/>
              </w:rPr>
              <w:t>获取方式：</w:t>
            </w:r>
          </w:p>
          <w:p w14:paraId="73FC2511">
            <w:pPr>
              <w:pStyle w:val="30"/>
              <w:widowControl w:val="0"/>
              <w:spacing w:before="0" w:beforeAutospacing="0" w:after="0" w:afterAutospacing="0" w:line="360" w:lineRule="auto"/>
              <w:jc w:val="both"/>
              <w:rPr>
                <w:rFonts w:ascii="Times New Roman" w:hAnsi="Times New Roman" w:cs="Times New Roman" w:eastAsiaTheme="minorEastAsia"/>
                <w:b w:val="0"/>
                <w:i/>
                <w:sz w:val="21"/>
                <w:szCs w:val="21"/>
              </w:rPr>
            </w:pPr>
            <w:r>
              <w:rPr>
                <w:rFonts w:ascii="Times New Roman" w:hAnsi="Times New Roman" w:cs="Times New Roman" w:eastAsiaTheme="minorEastAsia"/>
                <w:sz w:val="21"/>
                <w:szCs w:val="21"/>
              </w:rPr>
              <w:t>上述资料请投标人</w:t>
            </w:r>
            <w:r>
              <w:rPr>
                <w:rFonts w:hint="eastAsia" w:ascii="Times New Roman" w:hAnsi="Times New Roman" w:cs="Times New Roman"/>
                <w:sz w:val="21"/>
                <w:szCs w:val="21"/>
                <w:lang w:eastAsia="zh-CN"/>
              </w:rPr>
              <w:t>在合肥</w:t>
            </w:r>
            <w:r>
              <w:rPr>
                <w:rFonts w:ascii="Times New Roman" w:hAnsi="Times New Roman" w:cs="Times New Roman" w:eastAsiaTheme="minorEastAsia"/>
                <w:sz w:val="21"/>
                <w:szCs w:val="21"/>
              </w:rPr>
              <w:t>文旅博览集团有限公司官网自行下载本项目附件。</w:t>
            </w:r>
          </w:p>
        </w:tc>
      </w:tr>
      <w:tr w14:paraId="6FD13F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14:paraId="01C5C867">
            <w:pPr>
              <w:pStyle w:val="31"/>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11</w:t>
            </w:r>
          </w:p>
        </w:tc>
        <w:tc>
          <w:tcPr>
            <w:tcW w:w="1072" w:type="pct"/>
            <w:vAlign w:val="center"/>
          </w:tcPr>
          <w:p w14:paraId="1707210A">
            <w:pPr>
              <w:spacing w:line="360" w:lineRule="auto"/>
              <w:rPr>
                <w:rFonts w:ascii="Times New Roman" w:hAnsi="Times New Roman" w:cs="Times New Roman" w:eastAsiaTheme="minorEastAsia"/>
                <w:szCs w:val="21"/>
              </w:rPr>
            </w:pPr>
            <w:r>
              <w:rPr>
                <w:rFonts w:ascii="Times New Roman" w:hAnsi="Times New Roman" w:eastAsia="宋体" w:cs="Times New Roman"/>
                <w:szCs w:val="21"/>
              </w:rPr>
              <w:t>重要说明</w:t>
            </w:r>
          </w:p>
        </w:tc>
        <w:tc>
          <w:tcPr>
            <w:tcW w:w="3350" w:type="pct"/>
            <w:vAlign w:val="center"/>
          </w:tcPr>
          <w:p w14:paraId="64064D44">
            <w:pPr>
              <w:spacing w:line="360" w:lineRule="auto"/>
              <w:rPr>
                <w:rFonts w:ascii="Times New Roman" w:hAnsi="Times New Roman" w:eastAsia="宋体" w:cs="Times New Roman"/>
                <w:szCs w:val="21"/>
              </w:rPr>
            </w:pPr>
            <w:r>
              <w:rPr>
                <w:rFonts w:ascii="Times New Roman" w:hAnsi="Times New Roman" w:eastAsia="宋体" w:cs="Times New Roman"/>
                <w:szCs w:val="21"/>
              </w:rPr>
              <w:t>（</w:t>
            </w:r>
            <w:r>
              <w:rPr>
                <w:rFonts w:ascii="Times New Roman" w:hAnsi="Times New Roman" w:cs="Times New Roman"/>
                <w:szCs w:val="21"/>
              </w:rPr>
              <w:t>1</w:t>
            </w:r>
            <w:r>
              <w:rPr>
                <w:rFonts w:ascii="Times New Roman" w:hAnsi="Times New Roman" w:eastAsia="宋体" w:cs="Times New Roman"/>
                <w:szCs w:val="21"/>
              </w:rPr>
              <w:t>）中标人应在规定期限内提交履约保证金并与招标人签订合同，若中标人未能在规定期限内提交履约保证金或签订合同，招标人有权取消中标人中标资格；</w:t>
            </w:r>
          </w:p>
          <w:p w14:paraId="5AE29B3C">
            <w:pPr>
              <w:spacing w:line="360" w:lineRule="auto"/>
              <w:rPr>
                <w:rFonts w:ascii="Times New Roman" w:hAnsi="Times New Roman" w:eastAsia="宋体" w:cs="Times New Roman"/>
                <w:szCs w:val="21"/>
              </w:rPr>
            </w:pPr>
            <w:r>
              <w:rPr>
                <w:rFonts w:ascii="Times New Roman" w:hAnsi="Times New Roman" w:eastAsia="宋体" w:cs="Times New Roman"/>
                <w:szCs w:val="21"/>
              </w:rPr>
              <w:t>（</w:t>
            </w:r>
            <w:r>
              <w:rPr>
                <w:rFonts w:ascii="Times New Roman" w:hAnsi="Times New Roman" w:cs="Times New Roman"/>
                <w:szCs w:val="21"/>
              </w:rPr>
              <w:t>2</w:t>
            </w:r>
            <w:r>
              <w:rPr>
                <w:rFonts w:ascii="Times New Roman" w:hAnsi="Times New Roman" w:eastAsia="宋体" w:cs="Times New Roman"/>
                <w:szCs w:val="21"/>
              </w:rPr>
              <w:t>）合同签订后，中标人存在规定时间内不组织人员进场开工，不履行合同义务等情况，招标人有权解除合同，并追究违约责任；</w:t>
            </w:r>
          </w:p>
          <w:p w14:paraId="1E79436F">
            <w:pPr>
              <w:spacing w:line="360" w:lineRule="auto"/>
              <w:rPr>
                <w:rFonts w:ascii="Times New Roman" w:hAnsi="Times New Roman" w:eastAsia="宋体" w:cs="Times New Roman"/>
                <w:szCs w:val="21"/>
              </w:rPr>
            </w:pPr>
            <w:r>
              <w:rPr>
                <w:rFonts w:ascii="Times New Roman" w:hAnsi="Times New Roman" w:eastAsia="宋体" w:cs="Times New Roman"/>
                <w:szCs w:val="21"/>
              </w:rPr>
              <w:t>（</w:t>
            </w:r>
            <w:r>
              <w:rPr>
                <w:rFonts w:ascii="Times New Roman" w:hAnsi="Times New Roman" w:cs="Times New Roman"/>
                <w:szCs w:val="21"/>
              </w:rPr>
              <w:t>3</w:t>
            </w:r>
            <w:r>
              <w:rPr>
                <w:rFonts w:ascii="Times New Roman" w:hAnsi="Times New Roman" w:eastAsia="宋体" w:cs="Times New Roman"/>
                <w:szCs w:val="21"/>
              </w:rPr>
              <w:t>）中标人在中标项目发生投诉、信访举报案件、履约存在争议时，拒绝协助配合有关部门调查案件的，招标人可以取消其中标资格或解除合同，并追究其违约责任。</w:t>
            </w:r>
          </w:p>
          <w:p w14:paraId="37FBB910">
            <w:pPr>
              <w:pStyle w:val="2"/>
              <w:spacing w:before="0" w:after="0" w:line="360" w:lineRule="auto"/>
              <w:rPr>
                <w:rFonts w:ascii="Times New Roman" w:hAnsi="Times New Roman" w:cs="Times New Roman" w:eastAsiaTheme="minorEastAsia"/>
                <w:sz w:val="21"/>
                <w:szCs w:val="21"/>
              </w:rPr>
            </w:pPr>
            <w:r>
              <w:rPr>
                <w:rFonts w:ascii="Times New Roman" w:hAnsi="Times New Roman" w:eastAsia="宋体" w:cs="Times New Roman"/>
                <w:b w:val="0"/>
                <w:bCs w:val="0"/>
                <w:sz w:val="21"/>
                <w:szCs w:val="21"/>
              </w:rPr>
              <w:t>（</w:t>
            </w:r>
            <w:r>
              <w:rPr>
                <w:rFonts w:ascii="Times New Roman" w:hAnsi="Times New Roman" w:cs="Times New Roman"/>
                <w:b w:val="0"/>
                <w:bCs w:val="0"/>
                <w:sz w:val="21"/>
                <w:szCs w:val="21"/>
              </w:rPr>
              <w:t>4</w:t>
            </w:r>
            <w:r>
              <w:rPr>
                <w:rFonts w:ascii="Times New Roman" w:hAnsi="Times New Roman" w:eastAsia="宋体" w:cs="Times New Roman"/>
                <w:b w:val="0"/>
                <w:bCs w:val="0"/>
                <w:sz w:val="21"/>
                <w:szCs w:val="21"/>
              </w:rPr>
              <w:t>）投标人参与本项目，应当诚信守法、公平竞争。如有以提供虚假材料（包括但不限于虚假技术参数响应、虚假业绩、虚假证书、虚假检测报告等）、串通、隐瞒失信信息等谋取中标的行为，一经发现，招标人可以取消其中标资格或解除合同，并追究其违约责任。</w:t>
            </w:r>
          </w:p>
        </w:tc>
      </w:tr>
      <w:tr w14:paraId="69EFA2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14:paraId="6A76F026">
            <w:pPr>
              <w:pStyle w:val="31"/>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12</w:t>
            </w:r>
          </w:p>
        </w:tc>
        <w:tc>
          <w:tcPr>
            <w:tcW w:w="1072" w:type="pct"/>
            <w:vAlign w:val="center"/>
          </w:tcPr>
          <w:p w14:paraId="5E22CB6C">
            <w:pPr>
              <w:pStyle w:val="30"/>
              <w:widowControl w:val="0"/>
              <w:spacing w:before="0" w:beforeAutospacing="0" w:after="0" w:afterAutospacing="0" w:line="360" w:lineRule="auto"/>
              <w:jc w:val="both"/>
              <w:rPr>
                <w:rFonts w:ascii="Times New Roman" w:hAnsi="Times New Roman" w:cs="Times New Roman" w:eastAsiaTheme="minorEastAsia"/>
                <w:b w:val="0"/>
                <w:sz w:val="21"/>
                <w:szCs w:val="21"/>
              </w:rPr>
            </w:pPr>
            <w:r>
              <w:rPr>
                <w:rFonts w:ascii="Times New Roman" w:hAnsi="Times New Roman" w:eastAsia="宋体" w:cs="Times New Roman"/>
                <w:b w:val="0"/>
                <w:sz w:val="21"/>
                <w:szCs w:val="21"/>
              </w:rPr>
              <w:t>解释权</w:t>
            </w:r>
          </w:p>
        </w:tc>
        <w:tc>
          <w:tcPr>
            <w:tcW w:w="3350" w:type="pct"/>
            <w:vAlign w:val="center"/>
          </w:tcPr>
          <w:p w14:paraId="4A8695C3">
            <w:pPr>
              <w:spacing w:line="360" w:lineRule="auto"/>
              <w:rPr>
                <w:rFonts w:ascii="Times New Roman" w:hAnsi="Times New Roman" w:eastAsia="宋体" w:cs="Times New Roman"/>
                <w:bCs/>
                <w:szCs w:val="21"/>
              </w:rPr>
            </w:pPr>
            <w:r>
              <w:rPr>
                <w:rFonts w:ascii="Times New Roman" w:hAnsi="Times New Roman" w:eastAsia="宋体" w:cs="Times New Roman"/>
                <w:bCs/>
                <w:szCs w:val="21"/>
              </w:rPr>
              <w:t>（1）构成本询价文件的各个组成文件应互为解释，互为说明；</w:t>
            </w:r>
          </w:p>
          <w:p w14:paraId="3902681C">
            <w:pPr>
              <w:spacing w:line="360" w:lineRule="auto"/>
              <w:rPr>
                <w:rFonts w:ascii="Times New Roman" w:hAnsi="Times New Roman" w:eastAsia="宋体" w:cs="Times New Roman"/>
                <w:bCs/>
                <w:szCs w:val="21"/>
              </w:rPr>
            </w:pPr>
            <w:r>
              <w:rPr>
                <w:rFonts w:ascii="Times New Roman" w:hAnsi="Times New Roman" w:eastAsia="宋体" w:cs="Times New Roman"/>
                <w:bCs/>
                <w:szCs w:val="21"/>
              </w:rPr>
              <w:t>（2）同一组成文件中就同一事项的规定或约定不一致的，以编排顺序在后者为准；</w:t>
            </w:r>
          </w:p>
          <w:p w14:paraId="26ACBA32">
            <w:pPr>
              <w:spacing w:line="360" w:lineRule="auto"/>
              <w:rPr>
                <w:rFonts w:ascii="Times New Roman" w:hAnsi="Times New Roman" w:eastAsia="宋体" w:cs="Times New Roman"/>
                <w:bCs/>
                <w:szCs w:val="21"/>
              </w:rPr>
            </w:pPr>
            <w:r>
              <w:rPr>
                <w:rFonts w:ascii="Times New Roman" w:hAnsi="Times New Roman" w:eastAsia="宋体" w:cs="Times New Roman"/>
                <w:bCs/>
                <w:szCs w:val="21"/>
              </w:rPr>
              <w:t>（3）如有不明确或不一致，构成合同文件组成内容的，以合同文件约定内容为准，且以专用合同条款约定的合同文件优先顺序解释；</w:t>
            </w:r>
          </w:p>
          <w:p w14:paraId="738DE070">
            <w:pPr>
              <w:spacing w:line="360" w:lineRule="auto"/>
              <w:rPr>
                <w:rFonts w:ascii="Times New Roman" w:hAnsi="Times New Roman" w:eastAsia="宋体" w:cs="Times New Roman"/>
                <w:bCs/>
                <w:szCs w:val="21"/>
              </w:rPr>
            </w:pPr>
            <w:r>
              <w:rPr>
                <w:rFonts w:ascii="Times New Roman" w:hAnsi="Times New Roman" w:eastAsia="宋体" w:cs="Times New Roman"/>
                <w:bCs/>
                <w:szCs w:val="21"/>
              </w:rPr>
              <w:t>（4）除询价文件中有特别规定外，仅适用于询价及投标文件提交阶段的规定，按询价公告、投标人须知前附表、投标人须知正文、评审方法和标准、投标文件格式的先后顺序解释；</w:t>
            </w:r>
          </w:p>
          <w:p w14:paraId="7329DEBF">
            <w:pPr>
              <w:spacing w:line="360" w:lineRule="auto"/>
              <w:rPr>
                <w:rFonts w:ascii="Times New Roman" w:hAnsi="Times New Roman" w:eastAsia="宋体" w:cs="Times New Roman"/>
                <w:szCs w:val="21"/>
              </w:rPr>
            </w:pPr>
            <w:r>
              <w:rPr>
                <w:rFonts w:ascii="Times New Roman" w:hAnsi="Times New Roman" w:eastAsia="宋体" w:cs="Times New Roman"/>
                <w:bCs/>
                <w:szCs w:val="21"/>
              </w:rPr>
              <w:t>（5）</w:t>
            </w:r>
            <w:r>
              <w:rPr>
                <w:rFonts w:ascii="Times New Roman" w:hAnsi="Times New Roman" w:eastAsia="宋体" w:cs="Times New Roman"/>
                <w:szCs w:val="21"/>
              </w:rPr>
              <w:t>有澄清的部分以最终的澄清更正内容为准；</w:t>
            </w:r>
          </w:p>
          <w:p w14:paraId="256C087E">
            <w:pPr>
              <w:pStyle w:val="30"/>
              <w:widowControl w:val="0"/>
              <w:spacing w:before="0" w:beforeAutospacing="0" w:after="0" w:afterAutospacing="0" w:line="360" w:lineRule="auto"/>
              <w:jc w:val="both"/>
              <w:rPr>
                <w:rFonts w:ascii="Times New Roman" w:hAnsi="Times New Roman" w:cs="Times New Roman" w:eastAsiaTheme="minorEastAsia"/>
                <w:sz w:val="21"/>
                <w:szCs w:val="21"/>
              </w:rPr>
            </w:pPr>
            <w:r>
              <w:rPr>
                <w:rFonts w:ascii="Times New Roman" w:hAnsi="Times New Roman" w:eastAsia="宋体" w:cs="Times New Roman"/>
                <w:b w:val="0"/>
                <w:sz w:val="21"/>
                <w:szCs w:val="21"/>
              </w:rPr>
              <w:t>（6）按本款前述规定仍不能形成结论的，由招标人负责解释。</w:t>
            </w:r>
          </w:p>
        </w:tc>
      </w:tr>
      <w:tr w14:paraId="5FCBF7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14:paraId="6C9FF31F">
            <w:pPr>
              <w:pStyle w:val="31"/>
              <w:pBdr>
                <w:bottom w:val="none" w:color="auto" w:sz="0" w:space="0"/>
              </w:pBdr>
              <w:tabs>
                <w:tab w:val="clear" w:pos="4153"/>
                <w:tab w:val="clear" w:pos="8306"/>
              </w:tabs>
              <w:adjustRightInd/>
              <w:spacing w:line="240" w:lineRule="auto"/>
              <w:jc w:val="center"/>
              <w:textAlignment w:val="auto"/>
              <w:rPr>
                <w:rFonts w:hint="eastAsia" w:ascii="Times New Roman" w:hAnsi="Times New Roman" w:eastAsia="宋体" w:cs="Times New Roman"/>
                <w:bCs/>
                <w:kern w:val="2"/>
                <w:sz w:val="21"/>
                <w:szCs w:val="21"/>
                <w:lang w:eastAsia="zh-CN"/>
              </w:rPr>
            </w:pPr>
            <w:r>
              <w:rPr>
                <w:rFonts w:ascii="Times New Roman" w:hAnsi="Times New Roman" w:eastAsia="宋体" w:cs="Times New Roman"/>
                <w:bCs/>
                <w:kern w:val="2"/>
                <w:sz w:val="21"/>
                <w:szCs w:val="21"/>
              </w:rPr>
              <w:t>1</w:t>
            </w:r>
            <w:r>
              <w:rPr>
                <w:rFonts w:hint="eastAsia" w:ascii="Times New Roman" w:hAnsi="Times New Roman" w:eastAsia="宋体" w:cs="Times New Roman"/>
                <w:bCs/>
                <w:kern w:val="2"/>
                <w:sz w:val="21"/>
                <w:szCs w:val="21"/>
                <w:lang w:val="en-US" w:eastAsia="zh-CN"/>
              </w:rPr>
              <w:t>3</w:t>
            </w:r>
          </w:p>
        </w:tc>
        <w:tc>
          <w:tcPr>
            <w:tcW w:w="1072" w:type="pct"/>
            <w:vAlign w:val="center"/>
          </w:tcPr>
          <w:p w14:paraId="4158CD1E">
            <w:pPr>
              <w:pStyle w:val="30"/>
              <w:widowControl w:val="0"/>
              <w:spacing w:before="0" w:beforeAutospacing="0" w:after="0" w:afterAutospacing="0" w:line="360" w:lineRule="auto"/>
              <w:jc w:val="both"/>
              <w:rPr>
                <w:rFonts w:ascii="Times New Roman" w:hAnsi="Times New Roman" w:cs="Times New Roman" w:eastAsiaTheme="minorEastAsia"/>
                <w:b w:val="0"/>
                <w:sz w:val="21"/>
                <w:szCs w:val="21"/>
              </w:rPr>
            </w:pPr>
            <w:r>
              <w:rPr>
                <w:rFonts w:ascii="Times New Roman" w:hAnsi="Times New Roman" w:eastAsia="宋体" w:cs="Times New Roman"/>
                <w:b w:val="0"/>
                <w:sz w:val="21"/>
                <w:szCs w:val="21"/>
              </w:rPr>
              <w:t>补充约定</w:t>
            </w:r>
          </w:p>
        </w:tc>
        <w:tc>
          <w:tcPr>
            <w:tcW w:w="3350" w:type="pct"/>
            <w:vAlign w:val="center"/>
          </w:tcPr>
          <w:p w14:paraId="7D134FB7">
            <w:pPr>
              <w:adjustRightInd w:val="0"/>
              <w:snapToGrid w:val="0"/>
              <w:spacing w:line="360" w:lineRule="auto"/>
              <w:rPr>
                <w:rFonts w:ascii="Times New Roman" w:hAnsi="Times New Roman" w:cs="Times New Roman" w:eastAsiaTheme="minorEastAsia"/>
                <w:b w:val="0"/>
                <w:sz w:val="21"/>
                <w:szCs w:val="21"/>
                <w:u w:val="single"/>
              </w:rPr>
            </w:pPr>
            <w:r>
              <w:rPr>
                <w:rFonts w:ascii="Times New Roman" w:hAnsi="Times New Roman" w:eastAsia="宋体" w:cs="Times New Roman"/>
                <w:szCs w:val="21"/>
              </w:rPr>
              <w:t>通过评审小组的投标人为3家及以上的，按</w:t>
            </w:r>
            <w:r>
              <w:rPr>
                <w:rFonts w:hint="eastAsia" w:ascii="Times New Roman" w:hAnsi="Times New Roman" w:eastAsia="宋体" w:cs="Times New Roman"/>
                <w:szCs w:val="21"/>
                <w:lang w:val="en-US" w:eastAsia="zh-CN"/>
              </w:rPr>
              <w:t>询价</w:t>
            </w:r>
            <w:r>
              <w:rPr>
                <w:rFonts w:ascii="Times New Roman" w:hAnsi="Times New Roman" w:eastAsia="宋体" w:cs="Times New Roman"/>
                <w:szCs w:val="21"/>
              </w:rPr>
              <w:t>文件约定进行评审并确定结果</w:t>
            </w:r>
            <w:r>
              <w:rPr>
                <w:rFonts w:hint="eastAsia" w:ascii="Times New Roman" w:hAnsi="Times New Roman" w:eastAsia="宋体" w:cs="Times New Roman"/>
                <w:szCs w:val="21"/>
                <w:lang w:eastAsia="zh-CN"/>
              </w:rPr>
              <w:t>，</w:t>
            </w:r>
            <w:r>
              <w:rPr>
                <w:rFonts w:ascii="Times New Roman" w:hAnsi="Times New Roman" w:eastAsia="宋体" w:cs="Times New Roman"/>
                <w:szCs w:val="21"/>
              </w:rPr>
              <w:t>3家以下的本项目做流标处理。</w:t>
            </w:r>
          </w:p>
        </w:tc>
      </w:tr>
    </w:tbl>
    <w:p w14:paraId="7DF9BF57">
      <w:pPr>
        <w:spacing w:line="360" w:lineRule="auto"/>
        <w:ind w:firstLine="437"/>
        <w:jc w:val="center"/>
        <w:outlineLvl w:val="2"/>
        <w:rPr>
          <w:rFonts w:ascii="Times New Roman" w:hAnsi="Times New Roman" w:cs="Times New Roman" w:eastAsiaTheme="minorEastAsia"/>
          <w:b/>
          <w:sz w:val="24"/>
        </w:rPr>
      </w:pPr>
      <w:r>
        <w:rPr>
          <w:rFonts w:ascii="Times New Roman" w:hAnsi="Times New Roman" w:cs="Times New Roman" w:eastAsiaTheme="minorEastAsia"/>
          <w:b/>
          <w:sz w:val="28"/>
        </w:rPr>
        <w:br w:type="page"/>
      </w:r>
      <w:r>
        <w:rPr>
          <w:rFonts w:ascii="Times New Roman" w:hAnsi="Times New Roman" w:cs="Times New Roman" w:eastAsiaTheme="minorEastAsia"/>
          <w:b/>
          <w:sz w:val="24"/>
        </w:rPr>
        <w:t>二、投标人须知正文</w:t>
      </w:r>
    </w:p>
    <w:p w14:paraId="2D7B3A79">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1.适用范围</w:t>
      </w:r>
    </w:p>
    <w:p w14:paraId="16ABDE53">
      <w:pPr>
        <w:spacing w:line="360" w:lineRule="auto"/>
        <w:ind w:firstLine="437"/>
        <w:outlineLvl w:val="3"/>
        <w:rPr>
          <w:rFonts w:ascii="Times New Roman" w:hAnsi="Times New Roman" w:eastAsia="宋体" w:cs="Times New Roman"/>
          <w:szCs w:val="21"/>
        </w:rPr>
      </w:pPr>
      <w:r>
        <w:rPr>
          <w:rFonts w:ascii="Times New Roman" w:hAnsi="Times New Roman" w:eastAsia="宋体" w:cs="Times New Roman"/>
          <w:szCs w:val="21"/>
        </w:rPr>
        <w:t>1.1本</w:t>
      </w:r>
      <w:r>
        <w:rPr>
          <w:rFonts w:hint="eastAsia" w:ascii="Times New Roman" w:hAnsi="Times New Roman" w:eastAsia="宋体" w:cs="Times New Roman"/>
          <w:szCs w:val="21"/>
          <w:lang w:val="en-US" w:eastAsia="zh-CN"/>
        </w:rPr>
        <w:t>询价</w:t>
      </w:r>
      <w:r>
        <w:rPr>
          <w:rFonts w:ascii="Times New Roman" w:hAnsi="Times New Roman" w:eastAsia="宋体" w:cs="Times New Roman"/>
          <w:szCs w:val="21"/>
        </w:rPr>
        <w:t>文件适用于</w:t>
      </w:r>
      <w:r>
        <w:rPr>
          <w:rFonts w:hint="eastAsia" w:ascii="Times New Roman" w:hAnsi="Times New Roman" w:eastAsia="宋体" w:cs="Times New Roman"/>
          <w:szCs w:val="21"/>
          <w:lang w:val="en-US" w:eastAsia="zh-CN"/>
        </w:rPr>
        <w:t>本次</w:t>
      </w:r>
      <w:r>
        <w:rPr>
          <w:rFonts w:ascii="Times New Roman" w:hAnsi="Times New Roman" w:eastAsia="宋体" w:cs="Times New Roman"/>
          <w:szCs w:val="21"/>
        </w:rPr>
        <w:t>所述的</w:t>
      </w:r>
      <w:r>
        <w:rPr>
          <w:rFonts w:hint="eastAsia" w:ascii="Times New Roman" w:hAnsi="Times New Roman" w:eastAsia="宋体" w:cs="Times New Roman"/>
          <w:szCs w:val="21"/>
          <w:lang w:val="en-US" w:eastAsia="zh-CN"/>
        </w:rPr>
        <w:t>服务</w:t>
      </w:r>
      <w:r>
        <w:rPr>
          <w:rFonts w:ascii="Times New Roman" w:hAnsi="Times New Roman" w:eastAsia="宋体" w:cs="Times New Roman"/>
          <w:szCs w:val="21"/>
        </w:rPr>
        <w:t>采购。</w:t>
      </w:r>
    </w:p>
    <w:p w14:paraId="5F1DE8C8">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2.询价文件的澄清与修改</w:t>
      </w:r>
    </w:p>
    <w:p w14:paraId="5C4BED34">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2.1投标人如对询价文件内容有疑问，按投标人须知前附表规定提出。</w:t>
      </w:r>
    </w:p>
    <w:p w14:paraId="7EDB0AA6">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2.2招标人可主动或在解答投标人提出的问题时对询价文件进行澄清或者修改。</w:t>
      </w:r>
      <w:r>
        <w:rPr>
          <w:rFonts w:hint="eastAsia" w:ascii="Times New Roman" w:hAnsi="Times New Roman" w:cs="Times New Roman" w:eastAsiaTheme="minorEastAsia"/>
          <w:szCs w:val="21"/>
        </w:rPr>
        <w:t>招标人</w:t>
      </w:r>
      <w:r>
        <w:rPr>
          <w:rFonts w:ascii="Times New Roman" w:hAnsi="Times New Roman" w:cs="Times New Roman" w:eastAsiaTheme="minorEastAsia"/>
          <w:szCs w:val="21"/>
        </w:rPr>
        <w:t>将在合肥文旅博览集团有限公司网站澄清或修改询价文件，投标人应主动上网查询。招标人不承担投标人未及时关注相关信息引发的相关责任。</w:t>
      </w:r>
    </w:p>
    <w:p w14:paraId="0C7AC1F6">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2.3任何人或任何组织向投标人提供的任何书面或口头资料，未经</w:t>
      </w:r>
      <w:r>
        <w:rPr>
          <w:rFonts w:hint="eastAsia" w:ascii="Times New Roman" w:hAnsi="Times New Roman" w:cs="Times New Roman" w:eastAsiaTheme="minorEastAsia"/>
          <w:szCs w:val="21"/>
        </w:rPr>
        <w:t>招标人</w:t>
      </w:r>
      <w:r>
        <w:rPr>
          <w:rFonts w:ascii="Times New Roman" w:hAnsi="Times New Roman" w:cs="Times New Roman" w:eastAsiaTheme="minorEastAsia"/>
          <w:szCs w:val="21"/>
        </w:rPr>
        <w:t>在网上发布或书面通知，均作无效处理，不得作为询价文件的组成部分。</w:t>
      </w:r>
      <w:r>
        <w:rPr>
          <w:rFonts w:hint="eastAsia" w:ascii="Times New Roman" w:hAnsi="Times New Roman" w:cs="Times New Roman" w:eastAsiaTheme="minorEastAsia"/>
          <w:szCs w:val="21"/>
        </w:rPr>
        <w:t>招标人</w:t>
      </w:r>
      <w:r>
        <w:rPr>
          <w:rFonts w:ascii="Times New Roman" w:hAnsi="Times New Roman" w:cs="Times New Roman" w:eastAsiaTheme="minorEastAsia"/>
          <w:szCs w:val="21"/>
        </w:rPr>
        <w:t>对投标人由此而做出的推论、理解和结论概不负责。</w:t>
      </w:r>
    </w:p>
    <w:p w14:paraId="561198DB">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2.4对于没有提出疑问又参与了本项目的投标人将被视为完全认同本询价文件（含澄清、修改等内容）。</w:t>
      </w:r>
    </w:p>
    <w:p w14:paraId="6D6D1A11">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3.响应范围及投标文件中标准和计量单位的使用</w:t>
      </w:r>
    </w:p>
    <w:p w14:paraId="01737AD0">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3.1投标人应当对所参与的分包询价文件中“采购需求”所列的所有内容进行响应，如仅响应所参与包别中的部分内容，其所参与包别的投标文件将被认定为无效投标。</w:t>
      </w:r>
    </w:p>
    <w:p w14:paraId="7A0F5092">
      <w:pPr>
        <w:spacing w:line="360" w:lineRule="auto"/>
        <w:ind w:firstLine="420" w:firstLineChars="200"/>
        <w:rPr>
          <w:rFonts w:ascii="Times New Roman" w:hAnsi="Times New Roman" w:cs="Times New Roman" w:eastAsiaTheme="minorEastAsia"/>
          <w:szCs w:val="21"/>
        </w:rPr>
      </w:pPr>
      <w:bookmarkStart w:id="3" w:name="_Hlk16458980"/>
      <w:r>
        <w:rPr>
          <w:rFonts w:ascii="Times New Roman" w:hAnsi="Times New Roman" w:cs="Times New Roman" w:eastAsiaTheme="minorEastAsia"/>
          <w:szCs w:val="21"/>
        </w:rPr>
        <w:t>3.2无论询价文件中是否要求，投标人所提供的</w:t>
      </w:r>
      <w:r>
        <w:rPr>
          <w:rFonts w:hint="eastAsia" w:ascii="Times New Roman" w:hAnsi="Times New Roman" w:cs="Times New Roman"/>
          <w:szCs w:val="21"/>
          <w:lang w:eastAsia="zh-CN"/>
        </w:rPr>
        <w:t>服务</w:t>
      </w:r>
      <w:r>
        <w:rPr>
          <w:rFonts w:ascii="Times New Roman" w:hAnsi="Times New Roman" w:cs="Times New Roman" w:eastAsiaTheme="minorEastAsia"/>
          <w:szCs w:val="21"/>
        </w:rPr>
        <w:t>应符合国家强制性标准。</w:t>
      </w:r>
    </w:p>
    <w:bookmarkEnd w:id="3"/>
    <w:p w14:paraId="3A9E576D">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3.3投标人与</w:t>
      </w:r>
      <w:r>
        <w:rPr>
          <w:rFonts w:hint="eastAsia" w:ascii="Times New Roman" w:hAnsi="Times New Roman" w:cs="Times New Roman" w:eastAsiaTheme="minorEastAsia"/>
          <w:szCs w:val="21"/>
        </w:rPr>
        <w:t>招标人</w:t>
      </w:r>
      <w:r>
        <w:rPr>
          <w:rFonts w:ascii="Times New Roman" w:hAnsi="Times New Roman" w:cs="Times New Roman" w:eastAsiaTheme="minorEastAsia"/>
          <w:szCs w:val="21"/>
        </w:rPr>
        <w:t>之间与询价有关的所有往来通知、函件和投标文件均用中文表述。投标人随投标文件提供的证明文件和资料可以为其它语言，但必须附中文译文。翻译的中文资料与外文资料出现差异时，以中文为准。</w:t>
      </w:r>
    </w:p>
    <w:p w14:paraId="18F93893">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3.4除询价文件中有特殊要求外，投标文件中所使用的计量单位，应采用中华人民共和国法定计量单位。</w:t>
      </w:r>
    </w:p>
    <w:p w14:paraId="09FE212F">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4.投标文件构成</w:t>
      </w:r>
    </w:p>
    <w:p w14:paraId="024262CE">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4.1投标人应完整地按询价文件提供的投标文件格式及要求编写投标文件，具体内容详见本项目第六章投标文件格式的相关内容。</w:t>
      </w:r>
    </w:p>
    <w:p w14:paraId="207CF614">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4.2上述文件应按照询价文件规定的格式填写、签署和盖章。</w:t>
      </w:r>
    </w:p>
    <w:p w14:paraId="4FE6855C">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5.证明响应标的的合格性和符合询价文件规定的技术文件</w:t>
      </w:r>
    </w:p>
    <w:p w14:paraId="2E1AB6F6">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为保证公平公正，除非另有规定或说明，投标人对同一项目提交投标文件时，不得同时提供备选响应方案。</w:t>
      </w:r>
    </w:p>
    <w:p w14:paraId="5AABE602">
      <w:pPr>
        <w:spacing w:line="360" w:lineRule="auto"/>
        <w:ind w:firstLine="437"/>
        <w:outlineLvl w:val="3"/>
        <w:rPr>
          <w:rFonts w:ascii="Times New Roman" w:hAnsi="Times New Roman" w:cs="Times New Roman" w:eastAsiaTheme="minorEastAsia"/>
          <w:b/>
          <w:sz w:val="24"/>
        </w:rPr>
      </w:pPr>
      <w:r>
        <w:rPr>
          <w:rFonts w:hint="eastAsia" w:ascii="Times New Roman" w:hAnsi="Times New Roman" w:cs="Times New Roman" w:eastAsiaTheme="minorEastAsia"/>
          <w:b/>
          <w:sz w:val="24"/>
        </w:rPr>
        <w:t>6</w:t>
      </w:r>
      <w:r>
        <w:rPr>
          <w:rFonts w:ascii="Times New Roman" w:hAnsi="Times New Roman" w:cs="Times New Roman" w:eastAsiaTheme="minorEastAsia"/>
          <w:b/>
          <w:sz w:val="24"/>
        </w:rPr>
        <w:t>.报价</w:t>
      </w:r>
    </w:p>
    <w:p w14:paraId="7D8522FF">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6</w:t>
      </w:r>
      <w:r>
        <w:rPr>
          <w:rFonts w:ascii="Times New Roman" w:hAnsi="Times New Roman" w:cs="Times New Roman" w:eastAsiaTheme="minorEastAsia"/>
          <w:szCs w:val="21"/>
        </w:rPr>
        <w:t>.1投标人的报价应当包括满足本次询价全部招标人要求所应提供的</w:t>
      </w:r>
      <w:r>
        <w:rPr>
          <w:rFonts w:hint="eastAsia" w:ascii="Times New Roman" w:hAnsi="Times New Roman" w:cs="Times New Roman"/>
          <w:szCs w:val="21"/>
          <w:lang w:eastAsia="zh-CN"/>
        </w:rPr>
        <w:t>服务</w:t>
      </w:r>
      <w:r>
        <w:rPr>
          <w:rFonts w:ascii="Times New Roman" w:hAnsi="Times New Roman" w:cs="Times New Roman" w:eastAsiaTheme="minorEastAsia"/>
          <w:szCs w:val="21"/>
        </w:rPr>
        <w:t>，以及伴随的服务和工程。</w:t>
      </w:r>
    </w:p>
    <w:p w14:paraId="45507B8C">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6</w:t>
      </w:r>
      <w:r>
        <w:rPr>
          <w:rFonts w:ascii="Times New Roman" w:hAnsi="Times New Roman" w:cs="Times New Roman" w:eastAsiaTheme="minorEastAsia"/>
          <w:szCs w:val="21"/>
        </w:rPr>
        <w:t>.2 除非询价文件另有规定或经招标人同意支付的，投标人报价不得高于询价文件规定的预算金额或者分项、分包最高限价，否则其投标文件将被认定为无效投标。</w:t>
      </w:r>
    </w:p>
    <w:p w14:paraId="33B3C0D4">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6</w:t>
      </w:r>
      <w:r>
        <w:rPr>
          <w:rFonts w:ascii="Times New Roman" w:hAnsi="Times New Roman" w:cs="Times New Roman" w:eastAsiaTheme="minorEastAsia"/>
          <w:szCs w:val="21"/>
        </w:rPr>
        <w:t>.3 投标人应在报价表上标明提供的</w:t>
      </w:r>
      <w:r>
        <w:rPr>
          <w:rFonts w:hint="eastAsia" w:ascii="Times New Roman" w:hAnsi="Times New Roman" w:cs="Times New Roman"/>
          <w:szCs w:val="21"/>
          <w:lang w:eastAsia="zh-CN"/>
        </w:rPr>
        <w:t>服务</w:t>
      </w:r>
      <w:r>
        <w:rPr>
          <w:rFonts w:ascii="Times New Roman" w:hAnsi="Times New Roman" w:cs="Times New Roman" w:eastAsiaTheme="minorEastAsia"/>
          <w:szCs w:val="21"/>
        </w:rPr>
        <w:t>及相关服务的单价（如适用）和总价。未标明的视同包含在报价中。</w:t>
      </w:r>
    </w:p>
    <w:p w14:paraId="33BBC455">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6</w:t>
      </w:r>
      <w:r>
        <w:rPr>
          <w:rFonts w:ascii="Times New Roman" w:hAnsi="Times New Roman" w:cs="Times New Roman" w:eastAsiaTheme="minorEastAsia"/>
          <w:szCs w:val="21"/>
        </w:rPr>
        <w:t>.4招标人不接受具有附加条件的报价。</w:t>
      </w:r>
    </w:p>
    <w:p w14:paraId="171321A5">
      <w:pPr>
        <w:spacing w:line="360" w:lineRule="auto"/>
        <w:ind w:firstLine="437"/>
        <w:outlineLvl w:val="3"/>
        <w:rPr>
          <w:rFonts w:ascii="Times New Roman" w:hAnsi="Times New Roman" w:cs="Times New Roman" w:eastAsiaTheme="minorEastAsia"/>
          <w:b/>
          <w:sz w:val="24"/>
        </w:rPr>
      </w:pPr>
      <w:r>
        <w:rPr>
          <w:rFonts w:hint="eastAsia" w:ascii="Times New Roman" w:hAnsi="Times New Roman" w:cs="Times New Roman" w:eastAsiaTheme="minorEastAsia"/>
          <w:b/>
          <w:sz w:val="24"/>
        </w:rPr>
        <w:t>7</w:t>
      </w:r>
      <w:r>
        <w:rPr>
          <w:rFonts w:ascii="Times New Roman" w:hAnsi="Times New Roman" w:cs="Times New Roman" w:eastAsiaTheme="minorEastAsia"/>
          <w:b/>
          <w:sz w:val="24"/>
        </w:rPr>
        <w:t>.询价有效期</w:t>
      </w:r>
    </w:p>
    <w:p w14:paraId="461F2E22">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7</w:t>
      </w:r>
      <w:r>
        <w:rPr>
          <w:rFonts w:ascii="Times New Roman" w:hAnsi="Times New Roman" w:cs="Times New Roman" w:eastAsiaTheme="minorEastAsia"/>
          <w:szCs w:val="21"/>
        </w:rPr>
        <w:t>.1询价有效期为从投标文件提交截止之日算起的日历天数，在询价有效期内，投标人的投标文件保持有效，投标人不得要求撤销或修改其投标文件。询价有效期不满足要求的无效投标。</w:t>
      </w:r>
    </w:p>
    <w:p w14:paraId="3C5A76B1">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7</w:t>
      </w:r>
      <w:r>
        <w:rPr>
          <w:rFonts w:ascii="Times New Roman" w:hAnsi="Times New Roman" w:cs="Times New Roman" w:eastAsiaTheme="minorEastAsia"/>
          <w:szCs w:val="21"/>
        </w:rPr>
        <w:t>.2因特殊原因，招标人可在原询价有效期截止之前，要求投标人延长投标文件的有效期。接受该要求的投标人将不会被要求和允许修正其投标文件。投标人也可以拒绝延长询价有效期的要求，且不承担任何责任。上述要求和答复都应以书面形式提交。</w:t>
      </w:r>
    </w:p>
    <w:p w14:paraId="026376B3">
      <w:pPr>
        <w:spacing w:line="360" w:lineRule="auto"/>
        <w:ind w:firstLine="437"/>
        <w:outlineLvl w:val="3"/>
        <w:rPr>
          <w:rFonts w:ascii="Times New Roman" w:hAnsi="Times New Roman" w:cs="Times New Roman" w:eastAsiaTheme="minorEastAsia"/>
          <w:b/>
          <w:sz w:val="24"/>
        </w:rPr>
      </w:pPr>
      <w:r>
        <w:rPr>
          <w:rFonts w:hint="eastAsia" w:ascii="Times New Roman" w:hAnsi="Times New Roman" w:cs="Times New Roman" w:eastAsiaTheme="minorEastAsia"/>
          <w:b/>
          <w:sz w:val="24"/>
        </w:rPr>
        <w:t>8</w:t>
      </w:r>
      <w:r>
        <w:rPr>
          <w:rFonts w:ascii="Times New Roman" w:hAnsi="Times New Roman" w:cs="Times New Roman" w:eastAsiaTheme="minorEastAsia"/>
          <w:b/>
          <w:sz w:val="24"/>
        </w:rPr>
        <w:t>.投标文件的制作</w:t>
      </w:r>
    </w:p>
    <w:p w14:paraId="01086449">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8</w:t>
      </w:r>
      <w:r>
        <w:rPr>
          <w:rFonts w:ascii="Times New Roman" w:hAnsi="Times New Roman" w:cs="Times New Roman" w:eastAsiaTheme="minorEastAsia"/>
          <w:szCs w:val="21"/>
        </w:rPr>
        <w:t>.1本项目要求提供密封纸质投标文件，投标文件的制作应满足以下规定：</w:t>
      </w:r>
    </w:p>
    <w:p w14:paraId="34DFCCB7">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（1）投标文件应装订成册、密封，并在封面注明招标编号、投标项目等，同时在密封处加盖骑缝章；投标文件要求：正、副本各一份。</w:t>
      </w:r>
    </w:p>
    <w:p w14:paraId="3D0C183E">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2）在第六章“投标文件格式”中要求盖投标人盖章处，投标人均应加盖投标人公章。联合体参加的，除联合协议及询价文件规定须联合体各成员单位各自盖章的证明材料外，投标文件由联合体牵头人按上述规定加盖联合体牵头人单位公章。</w:t>
      </w:r>
    </w:p>
    <w:p w14:paraId="3C6F602C">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（3）投标文件制作完成后，投标人应对投标文件进行装订成册、密封，形成密封的投标文件，否则引起的责任由投标人自行承担。</w:t>
      </w:r>
    </w:p>
    <w:p w14:paraId="52661504">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8</w:t>
      </w:r>
      <w:r>
        <w:rPr>
          <w:rFonts w:ascii="Times New Roman" w:hAnsi="Times New Roman" w:cs="Times New Roman" w:eastAsiaTheme="minorEastAsia"/>
          <w:szCs w:val="21"/>
        </w:rPr>
        <w:t>.2因投标人自身原因而导致投标文件无法开标、评标，该投标视为无效投标，投标人自行承担由此导致的全部责任。</w:t>
      </w:r>
    </w:p>
    <w:p w14:paraId="40D8CF60">
      <w:pPr>
        <w:spacing w:line="360" w:lineRule="auto"/>
        <w:ind w:firstLine="437"/>
        <w:outlineLvl w:val="3"/>
        <w:rPr>
          <w:rFonts w:ascii="Times New Roman" w:hAnsi="Times New Roman" w:cs="Times New Roman" w:eastAsiaTheme="minorEastAsia"/>
          <w:b/>
          <w:sz w:val="24"/>
        </w:rPr>
      </w:pPr>
      <w:r>
        <w:rPr>
          <w:rFonts w:hint="eastAsia" w:ascii="Times New Roman" w:hAnsi="Times New Roman" w:cs="Times New Roman" w:eastAsiaTheme="minorEastAsia"/>
          <w:b/>
          <w:sz w:val="24"/>
        </w:rPr>
        <w:t>9</w:t>
      </w:r>
      <w:r>
        <w:rPr>
          <w:rFonts w:ascii="Times New Roman" w:hAnsi="Times New Roman" w:cs="Times New Roman" w:eastAsiaTheme="minorEastAsia"/>
          <w:b/>
          <w:sz w:val="24"/>
        </w:rPr>
        <w:t>.投标文件提交截止时间</w:t>
      </w:r>
    </w:p>
    <w:p w14:paraId="15C4DA8D">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9</w:t>
      </w:r>
      <w:r>
        <w:rPr>
          <w:rFonts w:ascii="Times New Roman" w:hAnsi="Times New Roman" w:cs="Times New Roman" w:eastAsiaTheme="minorEastAsia"/>
          <w:szCs w:val="21"/>
        </w:rPr>
        <w:t>.1投标人应在投标人须知前附表中规定的</w:t>
      </w:r>
      <w:bookmarkStart w:id="4" w:name="_Hlk22476245"/>
      <w:r>
        <w:rPr>
          <w:rFonts w:ascii="Times New Roman" w:hAnsi="Times New Roman" w:cs="Times New Roman" w:eastAsiaTheme="minorEastAsia"/>
          <w:szCs w:val="21"/>
        </w:rPr>
        <w:t>投标文件提交截止时间</w:t>
      </w:r>
      <w:bookmarkEnd w:id="4"/>
      <w:r>
        <w:rPr>
          <w:rFonts w:ascii="Times New Roman" w:hAnsi="Times New Roman" w:cs="Times New Roman" w:eastAsiaTheme="minorEastAsia"/>
          <w:szCs w:val="21"/>
        </w:rPr>
        <w:t>前，将封装的投标文件送到指定开标地点。</w:t>
      </w:r>
    </w:p>
    <w:p w14:paraId="0A57A455">
      <w:pPr>
        <w:spacing w:line="360" w:lineRule="auto"/>
        <w:ind w:firstLine="420" w:firstLineChars="200"/>
        <w:rPr>
          <w:rFonts w:ascii="Times New Roman" w:hAnsi="Times New Roman" w:cs="Times New Roman" w:eastAsiaTheme="minorEastAsia"/>
          <w:sz w:val="24"/>
        </w:rPr>
      </w:pPr>
      <w:r>
        <w:rPr>
          <w:rFonts w:hint="eastAsia" w:ascii="Times New Roman" w:hAnsi="Times New Roman" w:cs="Times New Roman" w:eastAsiaTheme="minorEastAsia"/>
          <w:szCs w:val="21"/>
        </w:rPr>
        <w:t>9</w:t>
      </w:r>
      <w:r>
        <w:rPr>
          <w:rFonts w:ascii="Times New Roman" w:hAnsi="Times New Roman" w:cs="Times New Roman" w:eastAsiaTheme="minorEastAsia"/>
          <w:szCs w:val="21"/>
        </w:rPr>
        <w:t>.2招标人有权按本询价文件的规定，延迟投标文件提交截止时间。在此情况下，招标人</w:t>
      </w:r>
      <w:r>
        <w:rPr>
          <w:rFonts w:hint="eastAsia" w:ascii="Times New Roman" w:hAnsi="Times New Roman" w:cs="Times New Roman" w:eastAsiaTheme="minorEastAsia"/>
          <w:szCs w:val="21"/>
        </w:rPr>
        <w:t>、</w:t>
      </w:r>
      <w:r>
        <w:rPr>
          <w:rFonts w:ascii="Times New Roman" w:hAnsi="Times New Roman" w:cs="Times New Roman" w:eastAsiaTheme="minorEastAsia"/>
          <w:szCs w:val="21"/>
        </w:rPr>
        <w:t>投标人受投标文件提交截止时间制约的所有权利和义务均应延长至新的截止时间。</w:t>
      </w:r>
    </w:p>
    <w:p w14:paraId="413B7F4D">
      <w:pPr>
        <w:spacing w:line="360" w:lineRule="auto"/>
        <w:ind w:firstLine="437"/>
        <w:outlineLvl w:val="3"/>
        <w:rPr>
          <w:rFonts w:ascii="Times New Roman" w:hAnsi="Times New Roman" w:cs="Times New Roman" w:eastAsiaTheme="minorEastAsia"/>
          <w:b/>
          <w:sz w:val="24"/>
        </w:rPr>
      </w:pPr>
      <w:r>
        <w:rPr>
          <w:rFonts w:hint="eastAsia" w:ascii="Times New Roman" w:hAnsi="Times New Roman" w:cs="Times New Roman" w:eastAsiaTheme="minorEastAsia"/>
          <w:b/>
          <w:sz w:val="24"/>
        </w:rPr>
        <w:t>10</w:t>
      </w:r>
      <w:r>
        <w:rPr>
          <w:rFonts w:ascii="Times New Roman" w:hAnsi="Times New Roman" w:cs="Times New Roman" w:eastAsiaTheme="minorEastAsia"/>
          <w:b/>
          <w:sz w:val="24"/>
        </w:rPr>
        <w:t>.投标文件的提交、修改与撤回</w:t>
      </w:r>
    </w:p>
    <w:p w14:paraId="6C67D2A8">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10</w:t>
      </w:r>
      <w:r>
        <w:rPr>
          <w:rFonts w:ascii="Times New Roman" w:hAnsi="Times New Roman" w:cs="Times New Roman" w:eastAsiaTheme="minorEastAsia"/>
          <w:szCs w:val="21"/>
        </w:rPr>
        <w:t>.1投标人应当在第一章“询价公告”规定的投标截止时间前，将封装的投标文件送到指定开标地点。（如询价延期，按最新发布询价时间执行）。</w:t>
      </w:r>
    </w:p>
    <w:p w14:paraId="35139CB1">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10</w:t>
      </w:r>
      <w:r>
        <w:rPr>
          <w:rFonts w:ascii="Times New Roman" w:hAnsi="Times New Roman" w:cs="Times New Roman" w:eastAsiaTheme="minorEastAsia"/>
          <w:szCs w:val="21"/>
        </w:rPr>
        <w:t>.2投标人在</w:t>
      </w:r>
      <w:r>
        <w:rPr>
          <w:rFonts w:hint="eastAsia" w:ascii="Times New Roman" w:hAnsi="Times New Roman" w:cs="Times New Roman" w:eastAsiaTheme="minorEastAsia"/>
          <w:szCs w:val="21"/>
        </w:rPr>
        <w:t>投标</w:t>
      </w:r>
      <w:r>
        <w:rPr>
          <w:rFonts w:ascii="Times New Roman" w:hAnsi="Times New Roman" w:cs="Times New Roman" w:eastAsiaTheme="minorEastAsia"/>
          <w:szCs w:val="21"/>
        </w:rPr>
        <w:t>截止时间前，可以补充、修改或者撤回投标文件。投标截止时间前未提交投标文件的，视为无效投标文件。未按规定密封或投标截止时间后送达的投标文件，应当拒收。</w:t>
      </w:r>
    </w:p>
    <w:p w14:paraId="00786556">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1</w:t>
      </w:r>
      <w:r>
        <w:rPr>
          <w:rFonts w:ascii="Times New Roman" w:hAnsi="Times New Roman" w:cs="Times New Roman" w:eastAsiaTheme="minorEastAsia"/>
          <w:b/>
          <w:sz w:val="24"/>
        </w:rPr>
        <w:t>.评审小组</w:t>
      </w:r>
    </w:p>
    <w:p w14:paraId="0FFF46B5">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由招标人抽取经济技术专家等方式组建的评审小组，负责本项目评审工作。评审小组成员由3人以上单数组成，评审小组及其成员应当依照有关规定履行相关职责和义务。</w:t>
      </w:r>
    </w:p>
    <w:p w14:paraId="6329339A">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2</w:t>
      </w:r>
      <w:r>
        <w:rPr>
          <w:rFonts w:ascii="Times New Roman" w:hAnsi="Times New Roman" w:cs="Times New Roman" w:eastAsiaTheme="minorEastAsia"/>
          <w:b/>
          <w:sz w:val="24"/>
        </w:rPr>
        <w:t>.终止询价</w:t>
      </w:r>
    </w:p>
    <w:p w14:paraId="0FABDE4C">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出现下列情况之一时，招标人有权宣布终止本项目，并将理由通知所有投标人：</w:t>
      </w:r>
    </w:p>
    <w:p w14:paraId="03FE59EF">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（1）通过评审小组的投标人不足规定数量，导致本次询价缺乏竞争的；</w:t>
      </w:r>
    </w:p>
    <w:p w14:paraId="6AF5C16F">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（2）出现影响公正的违法、违规行为的；</w:t>
      </w:r>
    </w:p>
    <w:p w14:paraId="3C5D4A95">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（3）因重大变故，招标任务取消的；</w:t>
      </w:r>
    </w:p>
    <w:p w14:paraId="3CCAA83E">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（4）询价文件有重大漏洞，导致无法继续评审的；</w:t>
      </w:r>
    </w:p>
    <w:p w14:paraId="5D45D229">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（5）法律法规规定的其他情形。</w:t>
      </w:r>
    </w:p>
    <w:p w14:paraId="43D02A4A">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3</w:t>
      </w:r>
      <w:r>
        <w:rPr>
          <w:rFonts w:ascii="Times New Roman" w:hAnsi="Times New Roman" w:cs="Times New Roman" w:eastAsiaTheme="minorEastAsia"/>
          <w:b/>
          <w:sz w:val="24"/>
        </w:rPr>
        <w:t>.投标文件的澄清、说明或更正</w:t>
      </w:r>
    </w:p>
    <w:p w14:paraId="69EC6931">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3</w:t>
      </w:r>
      <w:r>
        <w:rPr>
          <w:rFonts w:ascii="Times New Roman" w:hAnsi="Times New Roman" w:cs="Times New Roman" w:eastAsiaTheme="minorEastAsia"/>
          <w:szCs w:val="21"/>
        </w:rPr>
        <w:t>.1评审小组将对投标文件的有效性、完整性和响应程度进行审查，审查时可以要求投标人对投标文件中含义不明确、同类问题表述不一致或者有明显文字和计算错误的内容等作出必要的澄清、说明或者更正。投标人的澄清、说明或者更正不得超出投标文件的范围或者改变投标文件的实质性内容。对不同文字文本投标文件的解释发生异议的，以中文文本为准。</w:t>
      </w:r>
    </w:p>
    <w:p w14:paraId="759BD122">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3</w:t>
      </w:r>
      <w:r>
        <w:rPr>
          <w:rFonts w:ascii="Times New Roman" w:hAnsi="Times New Roman" w:cs="Times New Roman" w:eastAsiaTheme="minorEastAsia"/>
          <w:szCs w:val="21"/>
        </w:rPr>
        <w:t>.2评审小组要求投标人澄清、说明或者更正投标文件应当以书面形式作出。投标人的澄清、说明或者更正应当加盖投标人公章。</w:t>
      </w:r>
    </w:p>
    <w:p w14:paraId="52EF4ED8">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3</w:t>
      </w:r>
      <w:r>
        <w:rPr>
          <w:rFonts w:ascii="Times New Roman" w:hAnsi="Times New Roman" w:cs="Times New Roman" w:eastAsiaTheme="minorEastAsia"/>
          <w:szCs w:val="21"/>
        </w:rPr>
        <w:t>.3如有询标，投标人通过线下的方式接受询标。因授权代表联系不上等情形而无法接受评审小组询标的，投标人自行承担相关风险。</w:t>
      </w:r>
    </w:p>
    <w:p w14:paraId="49367412">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4</w:t>
      </w:r>
      <w:r>
        <w:rPr>
          <w:rFonts w:ascii="Times New Roman" w:hAnsi="Times New Roman" w:cs="Times New Roman" w:eastAsiaTheme="minorEastAsia"/>
          <w:b/>
          <w:sz w:val="24"/>
        </w:rPr>
        <w:t>.确定中标人</w:t>
      </w:r>
    </w:p>
    <w:p w14:paraId="4D5BE96D">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4</w:t>
      </w:r>
      <w:r>
        <w:rPr>
          <w:rFonts w:ascii="Times New Roman" w:hAnsi="Times New Roman" w:cs="Times New Roman" w:eastAsiaTheme="minorEastAsia"/>
          <w:szCs w:val="21"/>
        </w:rPr>
        <w:t>.1招标人委托评审小组确定中标人的，排名第一的即为中标人，由</w:t>
      </w:r>
      <w:r>
        <w:rPr>
          <w:rFonts w:hint="eastAsia" w:ascii="Times New Roman" w:hAnsi="Times New Roman" w:cs="Times New Roman" w:eastAsiaTheme="minorEastAsia"/>
          <w:szCs w:val="21"/>
        </w:rPr>
        <w:t>招标人</w:t>
      </w:r>
      <w:r>
        <w:rPr>
          <w:rFonts w:ascii="Times New Roman" w:hAnsi="Times New Roman" w:cs="Times New Roman" w:eastAsiaTheme="minorEastAsia"/>
          <w:szCs w:val="21"/>
        </w:rPr>
        <w:t>在指定媒体上予以公告。</w:t>
      </w:r>
    </w:p>
    <w:p w14:paraId="257FCF4A">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4</w:t>
      </w:r>
      <w:r>
        <w:rPr>
          <w:rFonts w:ascii="Times New Roman" w:hAnsi="Times New Roman" w:cs="Times New Roman" w:eastAsiaTheme="minorEastAsia"/>
          <w:szCs w:val="21"/>
        </w:rPr>
        <w:t>.2因重大变故采购任务取消时，招标人有权拒绝任何投标人成交，且对受影响的投标人不承担任何责任。</w:t>
      </w:r>
    </w:p>
    <w:p w14:paraId="640F4119">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5</w:t>
      </w:r>
      <w:r>
        <w:rPr>
          <w:rFonts w:ascii="Times New Roman" w:hAnsi="Times New Roman" w:cs="Times New Roman" w:eastAsiaTheme="minorEastAsia"/>
          <w:b/>
          <w:sz w:val="24"/>
        </w:rPr>
        <w:t>.编写评审报告</w:t>
      </w:r>
    </w:p>
    <w:p w14:paraId="61A7496B">
      <w:pPr>
        <w:spacing w:line="360" w:lineRule="auto"/>
        <w:ind w:firstLine="435"/>
        <w:rPr>
          <w:rFonts w:ascii="Times New Roman" w:hAnsi="Times New Roman" w:cs="Times New Roman" w:eastAsiaTheme="minorEastAsia"/>
          <w:sz w:val="24"/>
        </w:rPr>
      </w:pPr>
      <w:r>
        <w:rPr>
          <w:rFonts w:ascii="Times New Roman" w:hAnsi="Times New Roman" w:cs="Times New Roman" w:eastAsiaTheme="minorEastAsia"/>
          <w:szCs w:val="21"/>
        </w:rPr>
        <w:t>评审报告是根据全体评审小组成员签字的原始评审记录和评审结果编写的报告，评审报告由评审小组全体成员签字。对评审结论持有异议的评审小组成员可以书面方式阐述其不同意见和理由。评审小组成员拒绝在评审报告上签字且不陈述其不同意见和理由的，视为同意评审结论。</w:t>
      </w:r>
    </w:p>
    <w:p w14:paraId="2347EFF8">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6</w:t>
      </w:r>
      <w:r>
        <w:rPr>
          <w:rFonts w:ascii="Times New Roman" w:hAnsi="Times New Roman" w:cs="Times New Roman" w:eastAsiaTheme="minorEastAsia"/>
          <w:b/>
          <w:sz w:val="24"/>
        </w:rPr>
        <w:t>.保密要求</w:t>
      </w:r>
    </w:p>
    <w:p w14:paraId="59624CC6">
      <w:pPr>
        <w:spacing w:line="360" w:lineRule="auto"/>
        <w:ind w:firstLine="435"/>
        <w:rPr>
          <w:rFonts w:ascii="Times New Roman" w:hAnsi="Times New Roman" w:cs="Times New Roman" w:eastAsiaTheme="minorEastAsia"/>
          <w:szCs w:val="21"/>
        </w:rPr>
      </w:pPr>
      <w:r>
        <w:rPr>
          <w:rFonts w:ascii="Times New Roman" w:hAnsi="Times New Roman" w:cs="Times New Roman" w:eastAsiaTheme="minorEastAsia"/>
          <w:szCs w:val="21"/>
        </w:rPr>
        <w:t>评审应在严格保密的情况下进行。有关人员应当遵守评审工作纪律，不得泄露评审文件、评审情况和评审中获悉的国家秘密、商业秘密。</w:t>
      </w:r>
    </w:p>
    <w:p w14:paraId="5EDD737F">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7</w:t>
      </w:r>
      <w:r>
        <w:rPr>
          <w:rFonts w:ascii="Times New Roman" w:hAnsi="Times New Roman" w:cs="Times New Roman" w:eastAsiaTheme="minorEastAsia"/>
          <w:b/>
          <w:sz w:val="24"/>
        </w:rPr>
        <w:t>.中标结果公告</w:t>
      </w:r>
    </w:p>
    <w:p w14:paraId="792A1ED3">
      <w:pPr>
        <w:spacing w:line="360" w:lineRule="auto"/>
        <w:ind w:firstLine="435"/>
        <w:rPr>
          <w:rFonts w:ascii="Times New Roman" w:hAnsi="Times New Roman" w:cs="Times New Roman" w:eastAsiaTheme="minorEastAsia"/>
          <w:szCs w:val="21"/>
        </w:rPr>
      </w:pPr>
      <w:r>
        <w:rPr>
          <w:rFonts w:ascii="Times New Roman" w:hAnsi="Times New Roman" w:cs="Times New Roman" w:eastAsiaTheme="minorEastAsia"/>
          <w:szCs w:val="21"/>
        </w:rPr>
        <w:t>中标人确定后，</w:t>
      </w:r>
      <w:r>
        <w:rPr>
          <w:rFonts w:hint="eastAsia" w:ascii="Times New Roman" w:hAnsi="Times New Roman" w:cs="Times New Roman" w:eastAsiaTheme="minorEastAsia"/>
          <w:szCs w:val="21"/>
        </w:rPr>
        <w:t>招标人</w:t>
      </w:r>
      <w:r>
        <w:rPr>
          <w:rFonts w:hint="eastAsia" w:ascii="Times New Roman" w:hAnsi="Times New Roman" w:cs="Times New Roman" w:eastAsiaTheme="minorEastAsia"/>
          <w:szCs w:val="21"/>
          <w:lang w:val="en-US" w:eastAsia="zh-CN"/>
        </w:rPr>
        <w:t>在</w:t>
      </w:r>
      <w:r>
        <w:rPr>
          <w:rFonts w:ascii="Times New Roman" w:hAnsi="Times New Roman" w:cs="Times New Roman" w:eastAsiaTheme="minorEastAsia"/>
          <w:szCs w:val="21"/>
        </w:rPr>
        <w:t>合肥文旅博览集团有限公司官网发布中标结果公告。</w:t>
      </w:r>
    </w:p>
    <w:p w14:paraId="76FBF707">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8</w:t>
      </w:r>
      <w:r>
        <w:rPr>
          <w:rFonts w:ascii="Times New Roman" w:hAnsi="Times New Roman" w:cs="Times New Roman" w:eastAsiaTheme="minorEastAsia"/>
          <w:b/>
          <w:sz w:val="24"/>
        </w:rPr>
        <w:t>.签订合同</w:t>
      </w:r>
    </w:p>
    <w:p w14:paraId="66EB0752">
      <w:pPr>
        <w:spacing w:line="360" w:lineRule="auto"/>
        <w:ind w:firstLine="435"/>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8</w:t>
      </w:r>
      <w:r>
        <w:rPr>
          <w:rFonts w:ascii="Times New Roman" w:hAnsi="Times New Roman" w:cs="Times New Roman" w:eastAsiaTheme="minorEastAsia"/>
          <w:szCs w:val="21"/>
        </w:rPr>
        <w:t>.1招标人与中标人应当在中标通知书发出后及时签订合同。</w:t>
      </w:r>
    </w:p>
    <w:p w14:paraId="07F020B5">
      <w:pPr>
        <w:spacing w:line="360" w:lineRule="auto"/>
        <w:ind w:firstLine="435"/>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8</w:t>
      </w:r>
      <w:r>
        <w:rPr>
          <w:rFonts w:ascii="Times New Roman" w:hAnsi="Times New Roman" w:cs="Times New Roman" w:eastAsiaTheme="minorEastAsia"/>
          <w:szCs w:val="21"/>
        </w:rPr>
        <w:t>.2询价文件、中标人的投标文件及其澄清文件等，均为签订合同的依据。</w:t>
      </w:r>
    </w:p>
    <w:p w14:paraId="51E9A5EA">
      <w:pPr>
        <w:spacing w:line="360" w:lineRule="auto"/>
        <w:ind w:firstLine="435"/>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8</w:t>
      </w:r>
      <w:r>
        <w:rPr>
          <w:rFonts w:ascii="Times New Roman" w:hAnsi="Times New Roman" w:cs="Times New Roman" w:eastAsiaTheme="minorEastAsia"/>
          <w:szCs w:val="21"/>
        </w:rPr>
        <w:t>.3中标人拒绝与招标人签订合同的，招标人也可以重新开展活动。中标人拒绝签订合同的不得参加对该项目重新开展的活动。</w:t>
      </w:r>
    </w:p>
    <w:p w14:paraId="1F589593">
      <w:pPr>
        <w:spacing w:line="360" w:lineRule="auto"/>
        <w:ind w:firstLine="435"/>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9</w:t>
      </w:r>
      <w:r>
        <w:rPr>
          <w:rFonts w:ascii="Times New Roman" w:hAnsi="Times New Roman" w:cs="Times New Roman" w:eastAsiaTheme="minorEastAsia"/>
          <w:b/>
          <w:sz w:val="24"/>
        </w:rPr>
        <w:t>.需要补充的其他内容</w:t>
      </w:r>
    </w:p>
    <w:p w14:paraId="67C7099A">
      <w:pPr>
        <w:spacing w:line="360" w:lineRule="auto"/>
        <w:ind w:firstLine="435"/>
        <w:rPr>
          <w:rFonts w:ascii="Times New Roman" w:hAnsi="Times New Roman" w:cs="Times New Roman" w:eastAsiaTheme="minorEastAsia"/>
          <w:b/>
          <w:sz w:val="28"/>
        </w:rPr>
      </w:pPr>
      <w:r>
        <w:rPr>
          <w:rFonts w:ascii="Times New Roman" w:hAnsi="Times New Roman" w:cs="Times New Roman" w:eastAsiaTheme="minorEastAsia"/>
          <w:szCs w:val="21"/>
        </w:rPr>
        <w:t>需要补充的其他内容，见投标人须知前附表。</w:t>
      </w:r>
      <w:r>
        <w:rPr>
          <w:rFonts w:ascii="Times New Roman" w:hAnsi="Times New Roman" w:cs="Times New Roman" w:eastAsiaTheme="minorEastAsia"/>
          <w:sz w:val="24"/>
        </w:rPr>
        <w:br w:type="page"/>
      </w:r>
    </w:p>
    <w:p w14:paraId="5B01A5BB">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ascii="Times New Roman" w:hAnsi="Times New Roman" w:cs="Times New Roman" w:eastAsiaTheme="minorEastAsia"/>
          <w:b/>
          <w:sz w:val="28"/>
        </w:rPr>
      </w:pPr>
      <w:bookmarkStart w:id="5" w:name="_Toc11969"/>
      <w:r>
        <w:rPr>
          <w:rFonts w:ascii="Times New Roman" w:hAnsi="Times New Roman" w:cs="Times New Roman" w:eastAsiaTheme="minorEastAsia"/>
          <w:b/>
          <w:sz w:val="28"/>
        </w:rPr>
        <w:t xml:space="preserve">第三章  </w:t>
      </w:r>
      <w:bookmarkEnd w:id="5"/>
      <w:r>
        <w:rPr>
          <w:rFonts w:ascii="Times New Roman" w:hAnsi="Times New Roman" w:cs="Times New Roman" w:eastAsiaTheme="minorEastAsia"/>
          <w:b/>
          <w:sz w:val="28"/>
        </w:rPr>
        <w:t>招标人要求</w:t>
      </w:r>
    </w:p>
    <w:p w14:paraId="69CE596B">
      <w:pPr>
        <w:spacing w:line="360" w:lineRule="auto"/>
        <w:ind w:firstLine="420" w:firstLineChars="200"/>
        <w:rPr>
          <w:rFonts w:ascii="Times New Roman" w:hAnsi="Times New Roman"/>
          <w:sz w:val="21"/>
          <w:szCs w:val="21"/>
        </w:rPr>
      </w:pPr>
      <w:r>
        <w:rPr>
          <w:rFonts w:hint="eastAsia" w:ascii="Times New Roman" w:hAnsi="Times New Roman"/>
          <w:sz w:val="21"/>
          <w:szCs w:val="21"/>
        </w:rPr>
        <w:t>招标人</w:t>
      </w:r>
      <w:r>
        <w:rPr>
          <w:rFonts w:ascii="Times New Roman" w:hAnsi="Times New Roman"/>
          <w:sz w:val="21"/>
          <w:szCs w:val="21"/>
        </w:rPr>
        <w:t>要求应尽可能清晰准确，对于可以进行定量评估的工作，</w:t>
      </w:r>
      <w:r>
        <w:rPr>
          <w:rFonts w:hint="eastAsia" w:ascii="Times New Roman" w:hAnsi="Times New Roman"/>
          <w:sz w:val="21"/>
          <w:szCs w:val="21"/>
        </w:rPr>
        <w:t>招标人</w:t>
      </w:r>
      <w:r>
        <w:rPr>
          <w:rFonts w:ascii="Times New Roman" w:hAnsi="Times New Roman"/>
          <w:sz w:val="21"/>
          <w:szCs w:val="21"/>
        </w:rPr>
        <w:t>要求不仅应明确规定其功能、用途、质量、环境、安全，并且要规定偏差的范围和计算方法，以及检验、试验、试运行的具体要求。对于</w:t>
      </w:r>
      <w:r>
        <w:rPr>
          <w:rFonts w:hint="eastAsia" w:ascii="Times New Roman" w:hAnsi="Times New Roman"/>
          <w:sz w:val="21"/>
          <w:szCs w:val="21"/>
        </w:rPr>
        <w:t>投标人</w:t>
      </w:r>
      <w:r>
        <w:rPr>
          <w:rFonts w:ascii="Times New Roman" w:hAnsi="Times New Roman"/>
          <w:sz w:val="21"/>
          <w:szCs w:val="21"/>
        </w:rPr>
        <w:t>负责提供的有关服务，在</w:t>
      </w:r>
      <w:r>
        <w:rPr>
          <w:rFonts w:hint="eastAsia" w:ascii="Times New Roman" w:hAnsi="Times New Roman"/>
          <w:sz w:val="21"/>
          <w:szCs w:val="21"/>
        </w:rPr>
        <w:t>招标人</w:t>
      </w:r>
      <w:r>
        <w:rPr>
          <w:rFonts w:ascii="Times New Roman" w:hAnsi="Times New Roman"/>
          <w:sz w:val="21"/>
          <w:szCs w:val="21"/>
        </w:rPr>
        <w:t>要求中应一并明确规定。</w:t>
      </w:r>
    </w:p>
    <w:p w14:paraId="48EFE26E">
      <w:pPr>
        <w:spacing w:line="360" w:lineRule="auto"/>
        <w:ind w:firstLine="420" w:firstLineChars="200"/>
        <w:rPr>
          <w:rFonts w:ascii="Times New Roman" w:hAnsi="Times New Roman"/>
          <w:sz w:val="21"/>
          <w:szCs w:val="21"/>
        </w:rPr>
      </w:pPr>
      <w:r>
        <w:rPr>
          <w:rFonts w:hint="eastAsia" w:ascii="Times New Roman" w:hAnsi="Times New Roman"/>
          <w:sz w:val="21"/>
          <w:szCs w:val="21"/>
        </w:rPr>
        <w:t>招标人</w:t>
      </w:r>
      <w:r>
        <w:rPr>
          <w:rFonts w:ascii="Times New Roman" w:hAnsi="Times New Roman"/>
          <w:sz w:val="21"/>
          <w:szCs w:val="21"/>
        </w:rPr>
        <w:t>要求通常包括但不限于以下内容：</w:t>
      </w:r>
    </w:p>
    <w:p w14:paraId="5C1E4FA7">
      <w:pPr>
        <w:spacing w:line="520" w:lineRule="exact"/>
        <w:ind w:firstLine="0" w:firstLineChars="0"/>
        <w:jc w:val="both"/>
        <w:outlineLvl w:val="9"/>
        <w:rPr>
          <w:rFonts w:hint="eastAsia" w:asciiTheme="minorEastAsia" w:hAnsiTheme="minorEastAsia" w:eastAsiaTheme="minorEastAsia" w:cstheme="minorEastAsia"/>
          <w:b/>
          <w:bCs w:val="0"/>
          <w:sz w:val="21"/>
          <w:szCs w:val="21"/>
          <w:lang w:val="en-US" w:eastAsia="zh-CN"/>
        </w:rPr>
      </w:pPr>
      <w:bookmarkStart w:id="6" w:name="_Toc482188637"/>
      <w:bookmarkStart w:id="7" w:name="_Toc19590"/>
      <w:r>
        <w:rPr>
          <w:rFonts w:hint="eastAsia" w:asciiTheme="minorEastAsia" w:hAnsiTheme="minorEastAsia" w:cstheme="minorEastAsia"/>
          <w:b/>
          <w:sz w:val="21"/>
          <w:szCs w:val="21"/>
        </w:rPr>
        <w:t>一、</w:t>
      </w:r>
      <w:bookmarkEnd w:id="6"/>
      <w:r>
        <w:rPr>
          <w:rFonts w:hint="eastAsia" w:asciiTheme="minorEastAsia" w:hAnsiTheme="minorEastAsia" w:eastAsiaTheme="minorEastAsia" w:cstheme="minorEastAsia"/>
          <w:b/>
          <w:bCs w:val="0"/>
          <w:sz w:val="21"/>
          <w:szCs w:val="21"/>
          <w:lang w:val="en-US" w:eastAsia="zh-CN"/>
        </w:rPr>
        <w:t>评估对象及目的</w:t>
      </w:r>
    </w:p>
    <w:p w14:paraId="0A62F148">
      <w:pPr>
        <w:adjustRightInd/>
        <w:snapToGrid/>
        <w:spacing w:line="360" w:lineRule="auto"/>
        <w:ind w:firstLine="420" w:firstLineChars="200"/>
        <w:rPr>
          <w:rFonts w:hint="eastAsia" w:ascii="Times New Roman" w:hAnsi="Times New Roman" w:eastAsiaTheme="minorEastAsia" w:cstheme="minorBidi"/>
          <w:color w:val="auto"/>
          <w:sz w:val="21"/>
          <w:szCs w:val="21"/>
          <w:highlight w:val="none"/>
          <w:lang w:val="en-US" w:eastAsia="zh-CN"/>
        </w:rPr>
      </w:pPr>
      <w:r>
        <w:rPr>
          <w:rFonts w:hint="eastAsia" w:ascii="Times New Roman" w:hAnsi="Times New Roman" w:eastAsiaTheme="minorEastAsia" w:cstheme="minorBidi"/>
          <w:color w:val="auto"/>
          <w:sz w:val="21"/>
          <w:szCs w:val="21"/>
          <w:highlight w:val="none"/>
          <w:lang w:val="en-US" w:eastAsia="zh-CN"/>
        </w:rPr>
        <w:t>对文旅集团2024年下半年集中处置资产等进行评估，以便于确定资产交易底价，评估对象见附件，具体以现场实际准</w:t>
      </w:r>
      <w:r>
        <w:rPr>
          <w:rFonts w:hint="eastAsia" w:ascii="Times New Roman" w:hAnsi="Times New Roman" w:cstheme="minorBidi"/>
          <w:color w:val="auto"/>
          <w:sz w:val="21"/>
          <w:szCs w:val="21"/>
          <w:highlight w:val="none"/>
          <w:lang w:val="en-US" w:eastAsia="zh-CN"/>
        </w:rPr>
        <w:t>，资产状态以投标人意见为准</w:t>
      </w:r>
      <w:r>
        <w:rPr>
          <w:rFonts w:hint="eastAsia" w:ascii="Times New Roman" w:hAnsi="Times New Roman" w:eastAsiaTheme="minorEastAsia" w:cstheme="minorBidi"/>
          <w:color w:val="auto"/>
          <w:sz w:val="21"/>
          <w:szCs w:val="21"/>
          <w:highlight w:val="none"/>
          <w:lang w:val="en-US" w:eastAsia="zh-CN"/>
        </w:rPr>
        <w:t>。</w:t>
      </w:r>
    </w:p>
    <w:bookmarkEnd w:id="7"/>
    <w:p w14:paraId="2C1B6735">
      <w:pPr>
        <w:spacing w:line="520" w:lineRule="exact"/>
        <w:ind w:firstLine="0" w:firstLineChars="0"/>
        <w:outlineLvl w:val="9"/>
        <w:rPr>
          <w:rFonts w:hint="eastAsia" w:asciiTheme="minorEastAsia" w:hAnsiTheme="minorEastAsia" w:cstheme="minorEastAsia"/>
          <w:b/>
          <w:sz w:val="21"/>
          <w:szCs w:val="21"/>
        </w:rPr>
      </w:pPr>
      <w:r>
        <w:rPr>
          <w:rFonts w:hint="eastAsia" w:asciiTheme="minorEastAsia" w:hAnsiTheme="minorEastAsia" w:cstheme="minorEastAsia"/>
          <w:b/>
          <w:sz w:val="21"/>
          <w:szCs w:val="21"/>
          <w:lang w:val="en-US" w:eastAsia="zh-CN"/>
        </w:rPr>
        <w:t>二、</w:t>
      </w:r>
      <w:r>
        <w:rPr>
          <w:rFonts w:hint="eastAsia" w:asciiTheme="minorEastAsia" w:hAnsiTheme="minorEastAsia" w:cstheme="minorEastAsia"/>
          <w:b/>
          <w:sz w:val="21"/>
          <w:szCs w:val="21"/>
        </w:rPr>
        <w:t>服务内容及要求</w:t>
      </w:r>
    </w:p>
    <w:p w14:paraId="69C7EF45">
      <w:pPr>
        <w:adjustRightInd/>
        <w:snapToGrid/>
        <w:spacing w:line="360" w:lineRule="auto"/>
        <w:ind w:firstLine="420" w:firstLineChars="200"/>
        <w:rPr>
          <w:rFonts w:hint="eastAsia" w:ascii="Times New Roman" w:hAnsi="Times New Roman"/>
          <w:color w:val="auto"/>
          <w:sz w:val="21"/>
          <w:szCs w:val="21"/>
          <w:lang w:eastAsia="zh-CN"/>
        </w:rPr>
      </w:pPr>
      <w:r>
        <w:rPr>
          <w:rFonts w:hint="eastAsia" w:ascii="Times New Roman" w:hAnsi="Times New Roman"/>
          <w:color w:val="auto"/>
          <w:sz w:val="21"/>
          <w:szCs w:val="21"/>
          <w:lang w:eastAsia="zh-CN"/>
        </w:rPr>
        <w:t>1、根据国家有关法规和行业规定，能够独立客观地进行鉴定评估。在签订委托合同，并且委托方提供完整的评估资料后，在约定时间内将评估报告书初稿报委托人审核并获取意见后72小时内出具评估报告。</w:t>
      </w:r>
    </w:p>
    <w:p w14:paraId="39ECAACB">
      <w:pPr>
        <w:adjustRightInd/>
        <w:snapToGrid/>
        <w:spacing w:line="360" w:lineRule="auto"/>
        <w:ind w:firstLine="420" w:firstLineChars="200"/>
        <w:rPr>
          <w:rFonts w:hint="eastAsia" w:ascii="Times New Roman" w:hAnsi="Times New Roman"/>
          <w:color w:val="auto"/>
          <w:sz w:val="21"/>
          <w:szCs w:val="21"/>
          <w:lang w:eastAsia="zh-CN"/>
        </w:rPr>
      </w:pPr>
      <w:r>
        <w:rPr>
          <w:rFonts w:hint="eastAsia" w:ascii="Times New Roman" w:hAnsi="Times New Roman"/>
          <w:color w:val="auto"/>
          <w:sz w:val="21"/>
          <w:szCs w:val="21"/>
          <w:lang w:eastAsia="zh-CN"/>
        </w:rPr>
        <w:t>2、投标人应当对被评估对象进行全面清查，根据委托方提供的资产清单，核实资产账面与实际是否相符，并据此作出鉴定。</w:t>
      </w:r>
    </w:p>
    <w:p w14:paraId="0E5BEFF0">
      <w:pPr>
        <w:adjustRightInd/>
        <w:snapToGrid/>
        <w:spacing w:line="360" w:lineRule="auto"/>
        <w:ind w:firstLine="420" w:firstLineChars="200"/>
        <w:rPr>
          <w:rFonts w:hint="eastAsia" w:ascii="Times New Roman" w:hAnsi="Times New Roman"/>
          <w:color w:val="auto"/>
          <w:sz w:val="21"/>
          <w:szCs w:val="21"/>
          <w:lang w:eastAsia="zh-CN"/>
        </w:rPr>
      </w:pPr>
      <w:r>
        <w:rPr>
          <w:rFonts w:hint="eastAsia" w:ascii="Times New Roman" w:hAnsi="Times New Roman"/>
          <w:color w:val="auto"/>
          <w:sz w:val="21"/>
          <w:szCs w:val="21"/>
          <w:lang w:eastAsia="zh-CN"/>
        </w:rPr>
        <w:t>3、投标人应充分根据资产原值、净值、新旧程度、重置成本、获利能力等因素选用合适的资产评估方法；并优先在持续使用的假设前提下，进行评估。</w:t>
      </w:r>
    </w:p>
    <w:p w14:paraId="58AD8CF8">
      <w:pPr>
        <w:adjustRightInd/>
        <w:snapToGrid/>
        <w:spacing w:line="360" w:lineRule="auto"/>
        <w:ind w:firstLine="420" w:firstLineChars="200"/>
        <w:rPr>
          <w:rFonts w:hint="eastAsia" w:ascii="Times New Roman" w:hAnsi="Times New Roman"/>
          <w:b w:val="0"/>
          <w:bCs w:val="0"/>
          <w:color w:val="auto"/>
          <w:sz w:val="21"/>
          <w:szCs w:val="21"/>
        </w:rPr>
      </w:pPr>
      <w:r>
        <w:rPr>
          <w:rFonts w:hint="eastAsia" w:ascii="Times New Roman" w:hAnsi="Times New Roman"/>
          <w:color w:val="auto"/>
          <w:sz w:val="21"/>
          <w:szCs w:val="21"/>
          <w:lang w:eastAsia="zh-CN"/>
        </w:rPr>
        <w:t>4、投标人出具的资产评估报告应当完整、齐全内容、格式符合《企业国有资产评估报告指南》(中评协[2017]42号)的规定。</w:t>
      </w:r>
    </w:p>
    <w:p w14:paraId="1494570E">
      <w:pPr>
        <w:spacing w:line="520" w:lineRule="exact"/>
        <w:ind w:firstLine="0" w:firstLineChars="0"/>
        <w:outlineLvl w:val="9"/>
        <w:rPr>
          <w:rFonts w:hint="eastAsia" w:asciiTheme="minorEastAsia" w:hAnsiTheme="minorEastAsia" w:cstheme="minorEastAsia"/>
          <w:b/>
          <w:sz w:val="21"/>
          <w:szCs w:val="21"/>
          <w:lang w:eastAsia="zh-CN"/>
        </w:rPr>
      </w:pPr>
      <w:r>
        <w:rPr>
          <w:rFonts w:hint="eastAsia" w:asciiTheme="minorEastAsia" w:hAnsiTheme="minorEastAsia" w:cstheme="minorEastAsia"/>
          <w:spacing w:val="6"/>
          <w:sz w:val="21"/>
          <w:szCs w:val="21"/>
          <w:lang w:val="en-US" w:eastAsia="zh-CN"/>
        </w:rPr>
        <w:t>三</w:t>
      </w:r>
      <w:r>
        <w:rPr>
          <w:rFonts w:hint="eastAsia" w:asciiTheme="minorEastAsia" w:hAnsiTheme="minorEastAsia" w:eastAsiaTheme="minorEastAsia" w:cstheme="minorEastAsia"/>
          <w:spacing w:val="6"/>
          <w:sz w:val="21"/>
          <w:szCs w:val="21"/>
          <w:lang w:val="en-US" w:eastAsia="zh-CN"/>
        </w:rPr>
        <w:t>、</w:t>
      </w:r>
      <w:r>
        <w:rPr>
          <w:rFonts w:hint="eastAsia" w:asciiTheme="minorEastAsia" w:hAnsiTheme="minorEastAsia" w:cstheme="minorEastAsia"/>
          <w:b/>
          <w:sz w:val="21"/>
          <w:szCs w:val="21"/>
          <w:lang w:val="en-US" w:eastAsia="zh-CN"/>
        </w:rPr>
        <w:t>服务期限</w:t>
      </w:r>
      <w:r>
        <w:rPr>
          <w:rFonts w:hint="eastAsia" w:asciiTheme="minorEastAsia" w:hAnsiTheme="minorEastAsia" w:cstheme="minorEastAsia"/>
          <w:b/>
          <w:sz w:val="21"/>
          <w:szCs w:val="21"/>
        </w:rPr>
        <w:t>要求</w:t>
      </w:r>
      <w:r>
        <w:rPr>
          <w:rFonts w:hint="eastAsia" w:asciiTheme="minorEastAsia" w:hAnsiTheme="minorEastAsia" w:cstheme="minorEastAsia"/>
          <w:b/>
          <w:sz w:val="21"/>
          <w:szCs w:val="21"/>
          <w:lang w:eastAsia="zh-CN"/>
        </w:rPr>
        <w:t>：</w:t>
      </w:r>
    </w:p>
    <w:p w14:paraId="33AA0E76">
      <w:pPr>
        <w:adjustRightInd/>
        <w:snapToGrid/>
        <w:spacing w:line="360" w:lineRule="auto"/>
        <w:ind w:left="0" w:leftChars="0" w:firstLine="420" w:firstLineChars="200"/>
        <w:rPr>
          <w:rFonts w:hint="eastAsia" w:ascii="Times New Roman" w:hAnsi="Times New Roman" w:cstheme="minorBidi"/>
          <w:spacing w:val="0"/>
          <w:sz w:val="21"/>
          <w:szCs w:val="21"/>
          <w:lang w:eastAsia="zh-CN"/>
        </w:rPr>
      </w:pPr>
      <w:r>
        <w:rPr>
          <w:rFonts w:hint="eastAsia" w:ascii="Times New Roman" w:hAnsi="Times New Roman" w:eastAsiaTheme="minorEastAsia" w:cstheme="minorBidi"/>
          <w:spacing w:val="0"/>
          <w:sz w:val="21"/>
          <w:szCs w:val="21"/>
          <w:lang w:val="en-US" w:eastAsia="zh-CN"/>
        </w:rPr>
        <w:t>投标单位应自中标之日起</w:t>
      </w:r>
      <w:r>
        <w:rPr>
          <w:rFonts w:hint="eastAsia" w:ascii="Times New Roman" w:hAnsi="Times New Roman" w:cstheme="minorBidi"/>
          <w:spacing w:val="0"/>
          <w:sz w:val="21"/>
          <w:szCs w:val="21"/>
          <w:lang w:val="en-US" w:eastAsia="zh-CN"/>
        </w:rPr>
        <w:t>3</w:t>
      </w:r>
      <w:r>
        <w:rPr>
          <w:rFonts w:hint="eastAsia" w:ascii="Times New Roman" w:hAnsi="Times New Roman" w:eastAsiaTheme="minorEastAsia" w:cstheme="minorBidi"/>
          <w:spacing w:val="0"/>
          <w:sz w:val="21"/>
          <w:szCs w:val="21"/>
          <w:lang w:val="en-US" w:eastAsia="zh-CN"/>
        </w:rPr>
        <w:t>个工作日内完成资产评估工作，出具符合委托人要求的评估报告。</w:t>
      </w:r>
    </w:p>
    <w:p w14:paraId="38C430C2">
      <w:pPr>
        <w:spacing w:line="360" w:lineRule="auto"/>
        <w:ind w:firstLine="0" w:firstLineChars="0"/>
        <w:outlineLvl w:val="1"/>
        <w:rPr>
          <w:rFonts w:hint="eastAsia" w:asciiTheme="minorEastAsia" w:hAnsiTheme="minorEastAsia" w:cstheme="minorEastAsia"/>
          <w:b/>
          <w:sz w:val="21"/>
          <w:szCs w:val="21"/>
        </w:rPr>
      </w:pPr>
      <w:r>
        <w:rPr>
          <w:rFonts w:hint="eastAsia" w:asciiTheme="minorEastAsia" w:hAnsiTheme="minorEastAsia" w:cstheme="minorEastAsia"/>
          <w:b/>
          <w:sz w:val="21"/>
          <w:szCs w:val="21"/>
          <w:lang w:val="en-US" w:eastAsia="zh-CN"/>
        </w:rPr>
        <w:t>四、</w:t>
      </w:r>
      <w:r>
        <w:rPr>
          <w:rFonts w:hint="eastAsia" w:asciiTheme="minorEastAsia" w:hAnsiTheme="minorEastAsia" w:cstheme="minorEastAsia"/>
          <w:b/>
          <w:sz w:val="21"/>
          <w:szCs w:val="21"/>
        </w:rPr>
        <w:t>报价要求</w:t>
      </w:r>
    </w:p>
    <w:p w14:paraId="3E4F6191">
      <w:pPr>
        <w:keepNext w:val="0"/>
        <w:keepLines w:val="0"/>
        <w:pageBreakBefore w:val="0"/>
        <w:widowControl w:val="0"/>
        <w:kinsoku/>
        <w:wordWrap/>
        <w:overflowPunct/>
        <w:topLinePunct w:val="0"/>
        <w:autoSpaceDE/>
        <w:autoSpaceDN/>
        <w:bidi w:val="0"/>
        <w:adjustRightInd w:val="0"/>
        <w:snapToGrid w:val="0"/>
        <w:spacing w:line="520" w:lineRule="exact"/>
        <w:ind w:firstLine="444" w:firstLineChars="200"/>
        <w:textAlignment w:val="auto"/>
        <w:rPr>
          <w:rFonts w:hint="eastAsia" w:asciiTheme="minorEastAsia" w:hAnsiTheme="minorEastAsia" w:eastAsiaTheme="minorEastAsia" w:cstheme="minorEastAsia"/>
          <w:spacing w:val="6"/>
          <w:sz w:val="21"/>
          <w:szCs w:val="21"/>
          <w:lang w:val="en-US" w:eastAsia="zh-CN"/>
        </w:rPr>
      </w:pPr>
      <w:r>
        <w:rPr>
          <w:rFonts w:hint="eastAsia" w:asciiTheme="minorEastAsia" w:hAnsiTheme="minorEastAsia" w:eastAsiaTheme="minorEastAsia" w:cstheme="minorEastAsia"/>
          <w:spacing w:val="6"/>
          <w:sz w:val="21"/>
          <w:szCs w:val="21"/>
          <w:lang w:val="en-US" w:eastAsia="zh-CN"/>
        </w:rPr>
        <w:t>1、本项目采用总价报价，投标单位报投标总价</w:t>
      </w:r>
      <w:r>
        <w:rPr>
          <w:rFonts w:hint="eastAsia" w:asciiTheme="minorEastAsia" w:hAnsiTheme="minorEastAsia" w:cstheme="minorEastAsia"/>
          <w:spacing w:val="6"/>
          <w:sz w:val="21"/>
          <w:szCs w:val="21"/>
          <w:lang w:val="en-US" w:eastAsia="zh-CN"/>
        </w:rPr>
        <w:t>不得高于项目概算金额</w:t>
      </w:r>
      <w:r>
        <w:rPr>
          <w:rFonts w:hint="eastAsia" w:asciiTheme="minorEastAsia" w:hAnsiTheme="minorEastAsia" w:eastAsiaTheme="minorEastAsia" w:cstheme="minorEastAsia"/>
          <w:spacing w:val="6"/>
          <w:sz w:val="21"/>
          <w:szCs w:val="21"/>
          <w:lang w:val="en-US" w:eastAsia="zh-CN"/>
        </w:rPr>
        <w:t>，该总价包括但不限于投标单位的人工费、保险费、福利费、审计费、利润、税金及完成项目应有的全部费用。以投标总价作为评标依据，报价相同的，</w:t>
      </w:r>
      <w:bookmarkStart w:id="8" w:name="_Hlk514735510"/>
      <w:r>
        <w:rPr>
          <w:rFonts w:hint="eastAsia" w:asciiTheme="minorEastAsia" w:hAnsiTheme="minorEastAsia" w:eastAsiaTheme="minorEastAsia" w:cstheme="minorEastAsia"/>
          <w:spacing w:val="6"/>
          <w:sz w:val="21"/>
          <w:szCs w:val="21"/>
          <w:lang w:val="en-US" w:eastAsia="zh-CN"/>
        </w:rPr>
        <w:t>则采取评标委员会抽签方式确定中标单位。</w:t>
      </w:r>
      <w:bookmarkEnd w:id="8"/>
    </w:p>
    <w:p w14:paraId="7D448C76">
      <w:pPr>
        <w:keepNext w:val="0"/>
        <w:keepLines w:val="0"/>
        <w:pageBreakBefore w:val="0"/>
        <w:widowControl w:val="0"/>
        <w:kinsoku/>
        <w:wordWrap/>
        <w:overflowPunct/>
        <w:topLinePunct w:val="0"/>
        <w:autoSpaceDE/>
        <w:autoSpaceDN/>
        <w:bidi w:val="0"/>
        <w:adjustRightInd w:val="0"/>
        <w:snapToGrid w:val="0"/>
        <w:spacing w:line="520" w:lineRule="exact"/>
        <w:ind w:firstLine="444" w:firstLineChars="200"/>
        <w:textAlignment w:val="auto"/>
        <w:rPr>
          <w:rFonts w:hint="eastAsia" w:asciiTheme="minorEastAsia" w:hAnsiTheme="minorEastAsia" w:eastAsiaTheme="minorEastAsia" w:cstheme="minorEastAsia"/>
          <w:spacing w:val="6"/>
          <w:sz w:val="21"/>
          <w:szCs w:val="21"/>
          <w:lang w:val="en-US" w:eastAsia="zh-CN"/>
        </w:rPr>
      </w:pPr>
      <w:r>
        <w:rPr>
          <w:rFonts w:hint="eastAsia" w:asciiTheme="minorEastAsia" w:hAnsiTheme="minorEastAsia" w:eastAsiaTheme="minorEastAsia" w:cstheme="minorEastAsia"/>
          <w:spacing w:val="6"/>
          <w:sz w:val="21"/>
          <w:szCs w:val="21"/>
          <w:lang w:val="en-US" w:eastAsia="zh-CN"/>
        </w:rPr>
        <w:t>2、投标人需提前自行对项目现场和周围环境进行勘察，勘查现场所发生的费用由投标人自行承担。</w:t>
      </w:r>
    </w:p>
    <w:p w14:paraId="1E9D5CF1">
      <w:pPr>
        <w:keepNext w:val="0"/>
        <w:keepLines w:val="0"/>
        <w:pageBreakBefore w:val="0"/>
        <w:widowControl w:val="0"/>
        <w:kinsoku/>
        <w:wordWrap/>
        <w:overflowPunct/>
        <w:topLinePunct w:val="0"/>
        <w:autoSpaceDE/>
        <w:autoSpaceDN/>
        <w:bidi w:val="0"/>
        <w:adjustRightInd w:val="0"/>
        <w:snapToGrid w:val="0"/>
        <w:spacing w:line="520" w:lineRule="exact"/>
        <w:ind w:firstLine="444" w:firstLineChars="200"/>
        <w:textAlignment w:val="auto"/>
        <w:rPr>
          <w:rFonts w:hint="eastAsia" w:asciiTheme="minorEastAsia" w:hAnsiTheme="minorEastAsia" w:eastAsiaTheme="minorEastAsia" w:cstheme="minorEastAsia"/>
          <w:b/>
          <w:sz w:val="21"/>
          <w:szCs w:val="21"/>
          <w:lang w:val="en-US" w:eastAsia="zh-CN"/>
        </w:rPr>
      </w:pPr>
      <w:r>
        <w:rPr>
          <w:rFonts w:hint="eastAsia" w:asciiTheme="minorEastAsia" w:hAnsiTheme="minorEastAsia" w:eastAsiaTheme="minorEastAsia" w:cstheme="minorEastAsia"/>
          <w:spacing w:val="6"/>
          <w:sz w:val="21"/>
          <w:szCs w:val="21"/>
          <w:lang w:val="en-US" w:eastAsia="zh-CN"/>
        </w:rPr>
        <w:t>3、</w:t>
      </w:r>
      <w:r>
        <w:rPr>
          <w:rFonts w:hint="eastAsia" w:asciiTheme="minorEastAsia" w:hAnsiTheme="minorEastAsia" w:cstheme="minorEastAsia"/>
          <w:spacing w:val="6"/>
          <w:sz w:val="21"/>
          <w:szCs w:val="21"/>
          <w:lang w:val="en-US" w:eastAsia="zh-CN"/>
        </w:rPr>
        <w:t>投标</w:t>
      </w:r>
      <w:r>
        <w:rPr>
          <w:rFonts w:hint="eastAsia" w:asciiTheme="minorEastAsia" w:hAnsiTheme="minorEastAsia" w:eastAsiaTheme="minorEastAsia" w:cstheme="minorEastAsia"/>
          <w:spacing w:val="6"/>
          <w:sz w:val="21"/>
          <w:szCs w:val="21"/>
          <w:lang w:val="en-US" w:eastAsia="zh-CN"/>
        </w:rPr>
        <w:t>总价包括本次评估全部内容及工期的成本、利润、税金、运输费、损耗等所有费用。</w:t>
      </w:r>
    </w:p>
    <w:p w14:paraId="55F5A584">
      <w:pPr>
        <w:spacing w:line="440" w:lineRule="exact"/>
        <w:ind w:firstLine="420" w:firstLineChars="200"/>
        <w:rPr>
          <w:rFonts w:hint="eastAsia" w:asciiTheme="minorEastAsia" w:hAnsiTheme="minorEastAsia" w:cstheme="minorEastAsia"/>
          <w:sz w:val="21"/>
          <w:szCs w:val="21"/>
        </w:rPr>
      </w:pPr>
      <w:r>
        <w:rPr>
          <w:rFonts w:hint="eastAsia" w:asciiTheme="minorEastAsia" w:hAnsiTheme="minorEastAsia" w:cstheme="minorEastAsia"/>
          <w:sz w:val="21"/>
          <w:szCs w:val="21"/>
          <w:lang w:val="en-US" w:eastAsia="zh-CN"/>
        </w:rPr>
        <w:t>4、</w:t>
      </w:r>
      <w:r>
        <w:rPr>
          <w:rFonts w:hint="eastAsia" w:asciiTheme="minorEastAsia" w:hAnsiTheme="minorEastAsia" w:cstheme="minorEastAsia"/>
          <w:sz w:val="21"/>
          <w:szCs w:val="21"/>
        </w:rPr>
        <w:t>投标报价总价不得高于项目概算。</w:t>
      </w:r>
    </w:p>
    <w:p w14:paraId="0C4496C4">
      <w:pPr>
        <w:spacing w:line="360" w:lineRule="auto"/>
        <w:outlineLvl w:val="1"/>
        <w:rPr>
          <w:rFonts w:hint="eastAsia" w:asciiTheme="minorEastAsia" w:hAnsiTheme="minorEastAsia" w:cstheme="minorEastAsia"/>
          <w:b/>
          <w:sz w:val="21"/>
          <w:szCs w:val="21"/>
        </w:rPr>
      </w:pPr>
      <w:r>
        <w:rPr>
          <w:rFonts w:hint="eastAsia" w:asciiTheme="minorEastAsia" w:hAnsiTheme="minorEastAsia" w:cstheme="minorEastAsia"/>
          <w:b/>
          <w:sz w:val="21"/>
          <w:szCs w:val="21"/>
          <w:lang w:val="en-US" w:eastAsia="zh-CN"/>
        </w:rPr>
        <w:t>五、</w:t>
      </w:r>
      <w:r>
        <w:rPr>
          <w:rFonts w:hint="eastAsia" w:asciiTheme="minorEastAsia" w:hAnsiTheme="minorEastAsia" w:cstheme="minorEastAsia"/>
          <w:b/>
          <w:sz w:val="21"/>
          <w:szCs w:val="21"/>
        </w:rPr>
        <w:t>付款方式</w:t>
      </w:r>
    </w:p>
    <w:p w14:paraId="55BA1D9F">
      <w:pPr>
        <w:keepNext w:val="0"/>
        <w:keepLines w:val="0"/>
        <w:pageBreakBefore w:val="0"/>
        <w:widowControl w:val="0"/>
        <w:kinsoku/>
        <w:wordWrap/>
        <w:overflowPunct/>
        <w:topLinePunct w:val="0"/>
        <w:autoSpaceDE/>
        <w:autoSpaceDN/>
        <w:bidi w:val="0"/>
        <w:adjustRightInd w:val="0"/>
        <w:snapToGrid w:val="0"/>
        <w:spacing w:line="520" w:lineRule="exact"/>
        <w:ind w:firstLine="444" w:firstLineChars="200"/>
        <w:textAlignment w:val="auto"/>
        <w:rPr>
          <w:rFonts w:hint="eastAsia" w:asciiTheme="minorEastAsia" w:hAnsiTheme="minorEastAsia" w:eastAsiaTheme="minorEastAsia" w:cstheme="minorEastAsia"/>
          <w:spacing w:val="6"/>
          <w:sz w:val="21"/>
          <w:szCs w:val="21"/>
          <w:lang w:val="en-US" w:eastAsia="zh-CN"/>
        </w:rPr>
      </w:pPr>
      <w:r>
        <w:rPr>
          <w:rFonts w:hint="eastAsia" w:asciiTheme="minorEastAsia" w:hAnsiTheme="minorEastAsia" w:eastAsiaTheme="minorEastAsia" w:cstheme="minorEastAsia"/>
          <w:spacing w:val="6"/>
          <w:sz w:val="21"/>
          <w:szCs w:val="21"/>
          <w:lang w:val="en-US" w:eastAsia="zh-CN"/>
        </w:rPr>
        <w:t>中标人与委托人签订合同，中标人完成全部评估并出具符合委托人要求的评估报告后30日内一次性支付评估费用。</w:t>
      </w:r>
    </w:p>
    <w:p w14:paraId="56EF4039">
      <w:pPr>
        <w:keepNext w:val="0"/>
        <w:keepLines w:val="0"/>
        <w:pageBreakBefore w:val="0"/>
        <w:widowControl w:val="0"/>
        <w:kinsoku/>
        <w:wordWrap/>
        <w:overflowPunct/>
        <w:topLinePunct w:val="0"/>
        <w:autoSpaceDE/>
        <w:autoSpaceDN/>
        <w:bidi w:val="0"/>
        <w:adjustRightInd w:val="0"/>
        <w:snapToGrid w:val="0"/>
        <w:spacing w:line="520" w:lineRule="exact"/>
        <w:ind w:firstLine="444" w:firstLineChars="200"/>
        <w:textAlignment w:val="auto"/>
        <w:rPr>
          <w:rFonts w:hint="eastAsia" w:asciiTheme="minorEastAsia" w:hAnsiTheme="minorEastAsia" w:eastAsiaTheme="minorEastAsia" w:cstheme="minorEastAsia"/>
          <w:spacing w:val="6"/>
          <w:sz w:val="21"/>
          <w:szCs w:val="21"/>
          <w:lang w:val="en-US" w:eastAsia="zh-CN"/>
        </w:rPr>
      </w:pPr>
      <w:r>
        <w:rPr>
          <w:rFonts w:hint="eastAsia" w:asciiTheme="minorEastAsia" w:hAnsiTheme="minorEastAsia" w:eastAsiaTheme="minorEastAsia" w:cstheme="minorEastAsia"/>
          <w:spacing w:val="6"/>
          <w:sz w:val="21"/>
          <w:szCs w:val="21"/>
          <w:lang w:val="en-US" w:eastAsia="zh-CN"/>
        </w:rPr>
        <w:t>注：（1）在招标人付款前，中标人需向招标人交付等额的增值税专用发票，否则招标人有权拒绝或者延迟付款，且不承担违约责任。</w:t>
      </w:r>
    </w:p>
    <w:p w14:paraId="733AA216">
      <w:pPr>
        <w:keepNext w:val="0"/>
        <w:keepLines w:val="0"/>
        <w:pageBreakBefore w:val="0"/>
        <w:widowControl w:val="0"/>
        <w:kinsoku/>
        <w:wordWrap/>
        <w:overflowPunct/>
        <w:topLinePunct w:val="0"/>
        <w:autoSpaceDE/>
        <w:autoSpaceDN/>
        <w:bidi w:val="0"/>
        <w:adjustRightInd w:val="0"/>
        <w:snapToGrid w:val="0"/>
        <w:spacing w:line="520" w:lineRule="exact"/>
        <w:ind w:firstLine="444" w:firstLineChars="200"/>
        <w:textAlignment w:val="auto"/>
        <w:rPr>
          <w:rFonts w:hint="eastAsia" w:eastAsia="宋体"/>
          <w:spacing w:val="6"/>
          <w:sz w:val="28"/>
          <w:szCs w:val="28"/>
          <w:lang w:val="en-US" w:eastAsia="zh-CN"/>
        </w:rPr>
      </w:pPr>
      <w:r>
        <w:rPr>
          <w:rFonts w:hint="eastAsia" w:asciiTheme="minorEastAsia" w:hAnsiTheme="minorEastAsia" w:eastAsiaTheme="minorEastAsia" w:cstheme="minorEastAsia"/>
          <w:spacing w:val="6"/>
          <w:sz w:val="21"/>
          <w:szCs w:val="21"/>
          <w:lang w:val="en-US" w:eastAsia="zh-CN"/>
        </w:rPr>
        <w:t>（2）投标人提交的投标文件中如有关于付款条件的表述与询价文件规定不符，投标无效。</w:t>
      </w:r>
    </w:p>
    <w:p w14:paraId="6AC0B415">
      <w:pPr>
        <w:spacing w:line="360" w:lineRule="auto"/>
        <w:ind w:firstLine="480" w:firstLineChars="200"/>
        <w:rPr>
          <w:rFonts w:ascii="Times New Roman" w:hAnsi="Times New Roman" w:cs="Times New Roman" w:eastAsiaTheme="minorEastAsia"/>
          <w:sz w:val="24"/>
        </w:rPr>
      </w:pPr>
      <w:r>
        <w:rPr>
          <w:rFonts w:ascii="Times New Roman" w:hAnsi="Times New Roman" w:cs="Times New Roman" w:eastAsiaTheme="minorEastAsia"/>
          <w:sz w:val="24"/>
        </w:rPr>
        <w:br w:type="page"/>
      </w:r>
    </w:p>
    <w:p w14:paraId="10067E9C">
      <w:pPr>
        <w:spacing w:line="360" w:lineRule="auto"/>
        <w:jc w:val="center"/>
        <w:outlineLvl w:val="1"/>
        <w:rPr>
          <w:rFonts w:ascii="Times New Roman" w:hAnsi="Times New Roman" w:cs="Times New Roman" w:eastAsiaTheme="minorEastAsia"/>
          <w:b/>
          <w:sz w:val="28"/>
        </w:rPr>
      </w:pPr>
      <w:bookmarkStart w:id="9" w:name="_Toc17615"/>
      <w:r>
        <w:rPr>
          <w:rFonts w:ascii="Times New Roman" w:hAnsi="Times New Roman" w:cs="Times New Roman" w:eastAsiaTheme="minorEastAsia"/>
          <w:b/>
          <w:sz w:val="28"/>
        </w:rPr>
        <w:t>第四章  评审方法和标准</w:t>
      </w:r>
      <w:bookmarkEnd w:id="9"/>
    </w:p>
    <w:p w14:paraId="3B0502C2">
      <w:pPr>
        <w:spacing w:line="360" w:lineRule="auto"/>
        <w:ind w:firstLine="437"/>
        <w:outlineLvl w:val="2"/>
        <w:rPr>
          <w:rFonts w:ascii="Times New Roman" w:hAnsi="Times New Roman" w:cs="Times New Roman" w:eastAsiaTheme="minorEastAsia"/>
          <w:b/>
          <w:sz w:val="24"/>
        </w:rPr>
      </w:pPr>
      <w:r>
        <w:rPr>
          <w:rFonts w:ascii="Times New Roman" w:hAnsi="Times New Roman" w:cs="Times New Roman" w:eastAsiaTheme="minorEastAsia"/>
          <w:b/>
          <w:sz w:val="24"/>
        </w:rPr>
        <w:t>一、总则</w:t>
      </w:r>
    </w:p>
    <w:p w14:paraId="7438B4F2">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本项目将按照询价文件的相关要求及本章的规定评审。</w:t>
      </w:r>
    </w:p>
    <w:p w14:paraId="6B81A423">
      <w:pPr>
        <w:spacing w:line="360" w:lineRule="auto"/>
        <w:ind w:firstLine="437"/>
        <w:outlineLvl w:val="2"/>
        <w:rPr>
          <w:rFonts w:ascii="Times New Roman" w:hAnsi="Times New Roman" w:cs="Times New Roman" w:eastAsiaTheme="minorEastAsia"/>
          <w:b/>
          <w:sz w:val="24"/>
        </w:rPr>
      </w:pPr>
      <w:r>
        <w:rPr>
          <w:rFonts w:ascii="Times New Roman" w:hAnsi="Times New Roman" w:cs="Times New Roman" w:eastAsiaTheme="minorEastAsia"/>
          <w:b/>
          <w:sz w:val="24"/>
        </w:rPr>
        <w:t>二、评审方法</w:t>
      </w:r>
    </w:p>
    <w:p w14:paraId="0466AA62">
      <w:pPr>
        <w:spacing w:line="360" w:lineRule="auto"/>
        <w:ind w:firstLine="420" w:firstLineChars="200"/>
        <w:rPr>
          <w:rFonts w:ascii="Times New Roman" w:hAnsi="Times New Roman" w:cs="Times New Roman" w:eastAsiaTheme="minorEastAsia"/>
          <w:szCs w:val="16"/>
        </w:rPr>
      </w:pPr>
      <w:bookmarkStart w:id="10" w:name="_Hlk23204339"/>
      <w:r>
        <w:rPr>
          <w:rFonts w:ascii="Times New Roman" w:hAnsi="Times New Roman" w:cs="Times New Roman" w:eastAsiaTheme="minorEastAsia"/>
          <w:szCs w:val="16"/>
        </w:rPr>
        <w:t>1.本次项目评审采用</w:t>
      </w:r>
      <w:r>
        <w:rPr>
          <w:rFonts w:ascii="Times New Roman" w:hAnsi="Times New Roman" w:cs="Times New Roman" w:eastAsiaTheme="minorEastAsia"/>
          <w:b/>
          <w:szCs w:val="16"/>
        </w:rPr>
        <w:t>最低</w:t>
      </w:r>
      <w:r>
        <w:rPr>
          <w:rFonts w:hint="eastAsia" w:ascii="Times New Roman" w:hAnsi="Times New Roman" w:cs="Times New Roman" w:eastAsiaTheme="minorEastAsia"/>
          <w:b/>
          <w:szCs w:val="16"/>
        </w:rPr>
        <w:t>投标</w:t>
      </w:r>
      <w:r>
        <w:rPr>
          <w:rFonts w:ascii="Times New Roman" w:hAnsi="Times New Roman" w:cs="Times New Roman" w:eastAsiaTheme="minorEastAsia"/>
          <w:b/>
          <w:szCs w:val="16"/>
        </w:rPr>
        <w:t>价法</w:t>
      </w:r>
      <w:r>
        <w:rPr>
          <w:rFonts w:ascii="Times New Roman" w:hAnsi="Times New Roman" w:cs="Times New Roman" w:eastAsiaTheme="minorEastAsia"/>
          <w:szCs w:val="16"/>
        </w:rPr>
        <w:t>作为对投标人投标文件的比较方法。</w:t>
      </w:r>
    </w:p>
    <w:p w14:paraId="5E1F51A0">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2.评审小组按照“客观公正，实事求是”的原则，评价参加本次询价的投标人所提供的产品或服务价格、性能、质量、服务及对询价文件的符合性及响应性。</w:t>
      </w:r>
    </w:p>
    <w:p w14:paraId="77F115BB">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3.评审小组应认真研究询价文件的要求。</w:t>
      </w:r>
    </w:p>
    <w:p w14:paraId="7BB3A365">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4.有效投标应符合以下原则：</w:t>
      </w:r>
    </w:p>
    <w:p w14:paraId="069EC93D">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4.1满足询价文件的实质性要求；</w:t>
      </w:r>
    </w:p>
    <w:p w14:paraId="2BF73A8D">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4.2无重大偏离、保留或招标人不能接受的附加条件；</w:t>
      </w:r>
    </w:p>
    <w:p w14:paraId="01F12C4D">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4.3通过投标有效性评审；</w:t>
      </w:r>
    </w:p>
    <w:p w14:paraId="18B78A4F">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4.4评审小组依据询价文件认定的其他原则。</w:t>
      </w:r>
    </w:p>
    <w:p w14:paraId="48F6BCD7">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5.评审小组对所有投标文件均采用相同程序和标准，进行评定。</w:t>
      </w:r>
    </w:p>
    <w:p w14:paraId="6F26710E">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6.评审小组发现投标人的投标文件中对同类问题表述不一致、前后矛盾、有明显文字和计算错误的内容、有可能不符合询价文件规定等情况需要澄清时，评审小组将以询标的方式告知并要求投标人进行必要的澄清、说明或补正。</w:t>
      </w:r>
    </w:p>
    <w:p w14:paraId="0908E571">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对于询标后判定的结论（如通过或不通过），评审小组应提出充足的理由，根据评审文件给定的评审指标进行判定，并予以书面记录。</w:t>
      </w:r>
    </w:p>
    <w:p w14:paraId="102B41A0">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评审小组独立评审后，对投标人某项评审指标如有不同意见，按照少数服从多数的原则，确定该项评审指标的最终结论。</w:t>
      </w:r>
    </w:p>
    <w:p w14:paraId="48D4C592">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7.评审小组按下表内容进行投标有效性评审。</w:t>
      </w:r>
    </w:p>
    <w:tbl>
      <w:tblPr>
        <w:tblStyle w:val="22"/>
        <w:tblW w:w="485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4"/>
        <w:gridCol w:w="1919"/>
        <w:gridCol w:w="5504"/>
      </w:tblGrid>
      <w:tr w14:paraId="498A3C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516" w:type="pct"/>
            <w:tcBorders>
              <w:bottom w:val="single" w:color="auto" w:sz="4" w:space="0"/>
            </w:tcBorders>
            <w:vAlign w:val="center"/>
          </w:tcPr>
          <w:p w14:paraId="1B34ED5B">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ascii="Times New Roman" w:hAnsi="Times New Roman" w:cs="Times New Roman" w:eastAsiaTheme="minorEastAsia"/>
                <w:szCs w:val="21"/>
              </w:rPr>
            </w:pPr>
            <w:bookmarkStart w:id="11" w:name="_Hlk16461707"/>
            <w:r>
              <w:rPr>
                <w:rFonts w:ascii="Times New Roman" w:hAnsi="Times New Roman" w:cs="Times New Roman" w:eastAsiaTheme="minorEastAsia"/>
                <w:szCs w:val="21"/>
              </w:rPr>
              <w:t>序号</w:t>
            </w:r>
          </w:p>
        </w:tc>
        <w:tc>
          <w:tcPr>
            <w:tcW w:w="1159" w:type="pct"/>
            <w:tcBorders>
              <w:bottom w:val="single" w:color="auto" w:sz="4" w:space="0"/>
            </w:tcBorders>
            <w:vAlign w:val="center"/>
          </w:tcPr>
          <w:p w14:paraId="2478FDBE">
            <w:pPr>
              <w:pStyle w:val="31"/>
              <w:keepNext w:val="0"/>
              <w:keepLines w:val="0"/>
              <w:pageBreakBefore w:val="0"/>
              <w:widowControl w:val="0"/>
              <w:pBdr>
                <w:bottom w:val="none" w:color="auto" w:sz="0" w:space="0"/>
              </w:pBdr>
              <w:tabs>
                <w:tab w:val="clear" w:pos="4153"/>
                <w:tab w:val="clear" w:pos="8306"/>
              </w:tabs>
              <w:kinsoku/>
              <w:wordWrap/>
              <w:overflowPunct/>
              <w:topLinePunct w:val="0"/>
              <w:autoSpaceDE/>
              <w:autoSpaceDN/>
              <w:bidi w:val="0"/>
              <w:snapToGrid w:val="0"/>
              <w:spacing w:line="440" w:lineRule="exact"/>
              <w:ind w:right="-10"/>
              <w:textAlignment w:val="auto"/>
              <w:rPr>
                <w:rFonts w:ascii="Times New Roman" w:hAnsi="Times New Roman" w:cs="Times New Roman" w:eastAsiaTheme="minorEastAsia"/>
                <w:kern w:val="2"/>
                <w:sz w:val="21"/>
                <w:szCs w:val="21"/>
              </w:rPr>
            </w:pPr>
            <w:r>
              <w:rPr>
                <w:rFonts w:ascii="Times New Roman" w:hAnsi="Times New Roman" w:cs="Times New Roman" w:eastAsiaTheme="minorEastAsia"/>
                <w:kern w:val="2"/>
                <w:sz w:val="21"/>
                <w:szCs w:val="21"/>
              </w:rPr>
              <w:t>评审指标</w:t>
            </w:r>
          </w:p>
        </w:tc>
        <w:tc>
          <w:tcPr>
            <w:tcW w:w="3324" w:type="pct"/>
            <w:tcBorders>
              <w:bottom w:val="single" w:color="auto" w:sz="4" w:space="0"/>
            </w:tcBorders>
            <w:vAlign w:val="center"/>
          </w:tcPr>
          <w:p w14:paraId="26548A77">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评审标准</w:t>
            </w:r>
          </w:p>
        </w:tc>
      </w:tr>
      <w:tr w14:paraId="04D27D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jc w:val="center"/>
        </w:trPr>
        <w:tc>
          <w:tcPr>
            <w:tcW w:w="516" w:type="pct"/>
            <w:tcBorders>
              <w:bottom w:val="single" w:color="auto" w:sz="4" w:space="0"/>
            </w:tcBorders>
            <w:vAlign w:val="center"/>
          </w:tcPr>
          <w:p w14:paraId="0B7ADAAC">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1</w:t>
            </w:r>
          </w:p>
        </w:tc>
        <w:tc>
          <w:tcPr>
            <w:tcW w:w="1159" w:type="pct"/>
            <w:tcBorders>
              <w:bottom w:val="single" w:color="auto" w:sz="4" w:space="0"/>
            </w:tcBorders>
            <w:vAlign w:val="center"/>
          </w:tcPr>
          <w:p w14:paraId="75F6DE73">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营业执照</w:t>
            </w:r>
          </w:p>
        </w:tc>
        <w:tc>
          <w:tcPr>
            <w:tcW w:w="3324" w:type="pct"/>
            <w:tcBorders>
              <w:bottom w:val="single" w:color="auto" w:sz="4" w:space="0"/>
            </w:tcBorders>
            <w:vAlign w:val="center"/>
          </w:tcPr>
          <w:p w14:paraId="291C9503">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合法有效，提供有效的营业执照扫描件，应完整地体现出营业执照的全部内容。</w:t>
            </w:r>
          </w:p>
        </w:tc>
      </w:tr>
      <w:tr w14:paraId="74BBA6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516" w:type="pct"/>
            <w:vAlign w:val="center"/>
          </w:tcPr>
          <w:p w14:paraId="16C4D2E1">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hint="eastAsia" w:ascii="Times New Roman" w:hAnsi="Times New Roman" w:cs="Times New Roman" w:eastAsiaTheme="minorEastAsia"/>
                <w:szCs w:val="21"/>
                <w:lang w:eastAsia="zh-CN"/>
              </w:rPr>
            </w:pPr>
            <w:r>
              <w:rPr>
                <w:rFonts w:hint="eastAsia" w:ascii="Times New Roman" w:hAnsi="Times New Roman" w:cs="Times New Roman"/>
                <w:szCs w:val="21"/>
                <w:lang w:val="en-US" w:eastAsia="zh-CN"/>
              </w:rPr>
              <w:t>2</w:t>
            </w:r>
          </w:p>
        </w:tc>
        <w:tc>
          <w:tcPr>
            <w:tcW w:w="1159" w:type="pct"/>
            <w:vAlign w:val="center"/>
          </w:tcPr>
          <w:p w14:paraId="7E0F3B95">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报价</w:t>
            </w:r>
          </w:p>
        </w:tc>
        <w:tc>
          <w:tcPr>
            <w:tcW w:w="3324" w:type="pct"/>
            <w:vAlign w:val="center"/>
          </w:tcPr>
          <w:p w14:paraId="5F43A695">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报价符合询价文件要求</w:t>
            </w:r>
          </w:p>
        </w:tc>
      </w:tr>
      <w:tr w14:paraId="36B368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 w:hRule="atLeast"/>
          <w:jc w:val="center"/>
        </w:trPr>
        <w:tc>
          <w:tcPr>
            <w:tcW w:w="516" w:type="pct"/>
            <w:vAlign w:val="center"/>
          </w:tcPr>
          <w:p w14:paraId="1CB60DBC">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hint="eastAsia" w:ascii="Times New Roman" w:hAnsi="Times New Roman" w:cs="Times New Roman" w:eastAsiaTheme="minorEastAsia"/>
                <w:szCs w:val="21"/>
                <w:lang w:eastAsia="zh-CN"/>
              </w:rPr>
            </w:pPr>
            <w:r>
              <w:rPr>
                <w:rFonts w:hint="eastAsia" w:ascii="Times New Roman" w:hAnsi="Times New Roman" w:cs="Times New Roman"/>
                <w:szCs w:val="21"/>
                <w:lang w:val="en-US" w:eastAsia="zh-CN"/>
              </w:rPr>
              <w:t>3</w:t>
            </w:r>
          </w:p>
        </w:tc>
        <w:tc>
          <w:tcPr>
            <w:tcW w:w="1159" w:type="pct"/>
            <w:vAlign w:val="center"/>
          </w:tcPr>
          <w:p w14:paraId="61C19BC9">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投标函</w:t>
            </w:r>
          </w:p>
        </w:tc>
        <w:tc>
          <w:tcPr>
            <w:tcW w:w="3324" w:type="pct"/>
            <w:vAlign w:val="center"/>
          </w:tcPr>
          <w:p w14:paraId="17A3D277">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符合询价文件要求</w:t>
            </w:r>
          </w:p>
        </w:tc>
      </w:tr>
      <w:tr w14:paraId="44CE7E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516" w:type="pct"/>
            <w:vAlign w:val="center"/>
          </w:tcPr>
          <w:p w14:paraId="367A2459">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hint="eastAsia" w:ascii="Times New Roman" w:hAnsi="Times New Roman" w:cs="Times New Roman" w:eastAsiaTheme="minorEastAsia"/>
                <w:szCs w:val="21"/>
                <w:lang w:eastAsia="zh-CN"/>
              </w:rPr>
            </w:pPr>
            <w:r>
              <w:rPr>
                <w:rFonts w:hint="eastAsia" w:ascii="Times New Roman" w:hAnsi="Times New Roman" w:cs="Times New Roman"/>
                <w:szCs w:val="21"/>
                <w:lang w:val="en-US" w:eastAsia="zh-CN"/>
              </w:rPr>
              <w:t>4</w:t>
            </w:r>
          </w:p>
        </w:tc>
        <w:tc>
          <w:tcPr>
            <w:tcW w:w="1159" w:type="pct"/>
            <w:vAlign w:val="center"/>
          </w:tcPr>
          <w:p w14:paraId="1CD6720C">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询价文件获取情况</w:t>
            </w:r>
          </w:p>
        </w:tc>
        <w:tc>
          <w:tcPr>
            <w:tcW w:w="3324" w:type="pct"/>
            <w:vAlign w:val="center"/>
          </w:tcPr>
          <w:p w14:paraId="356CC385">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在询价文件获取截止时间前完成询价文件获取</w:t>
            </w:r>
          </w:p>
        </w:tc>
      </w:tr>
      <w:tr w14:paraId="7FF485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516" w:type="pct"/>
            <w:vAlign w:val="center"/>
          </w:tcPr>
          <w:p w14:paraId="56E2F4AC">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hint="eastAsia"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5</w:t>
            </w:r>
          </w:p>
        </w:tc>
        <w:tc>
          <w:tcPr>
            <w:tcW w:w="1159" w:type="pct"/>
            <w:vAlign w:val="center"/>
          </w:tcPr>
          <w:p w14:paraId="6340C0AE">
            <w:pPr>
              <w:adjustRightInd w:val="0"/>
              <w:snapToGrid w:val="0"/>
              <w:ind w:right="-10" w:rightChars="0"/>
              <w:jc w:val="center"/>
              <w:rPr>
                <w:rFonts w:cs="Times New Roman" w:asciiTheme="minorHAnsi" w:hAnsiTheme="minorHAnsi" w:eastAsiaTheme="minorEastAsia"/>
                <w:kern w:val="2"/>
                <w:sz w:val="21"/>
                <w:szCs w:val="21"/>
                <w:lang w:val="en-US" w:eastAsia="zh-CN" w:bidi="ar-SA"/>
              </w:rPr>
            </w:pPr>
            <w:r>
              <w:rPr>
                <w:rFonts w:hint="eastAsia" w:cs="Times New Roman"/>
                <w:kern w:val="2"/>
                <w:sz w:val="21"/>
                <w:szCs w:val="21"/>
              </w:rPr>
              <w:t>授权书</w:t>
            </w:r>
          </w:p>
        </w:tc>
        <w:tc>
          <w:tcPr>
            <w:tcW w:w="3324" w:type="pct"/>
            <w:vAlign w:val="center"/>
          </w:tcPr>
          <w:p w14:paraId="0DB48626">
            <w:pPr>
              <w:adjustRightInd w:val="0"/>
              <w:snapToGrid w:val="0"/>
              <w:spacing w:line="240" w:lineRule="auto"/>
              <w:ind w:right="-10" w:rightChars="0"/>
              <w:jc w:val="left"/>
              <w:rPr>
                <w:rFonts w:ascii="Calibri" w:hAnsi="Calibri" w:cs="Times New Roman" w:eastAsiaTheme="minorEastAsia"/>
                <w:kern w:val="2"/>
                <w:sz w:val="21"/>
                <w:szCs w:val="21"/>
                <w:lang w:val="en-US" w:eastAsia="zh-CN" w:bidi="ar-SA"/>
              </w:rPr>
            </w:pPr>
            <w:r>
              <w:rPr>
                <w:rFonts w:hint="eastAsia" w:cs="Times New Roman"/>
                <w:kern w:val="2"/>
                <w:sz w:val="21"/>
                <w:szCs w:val="21"/>
              </w:rPr>
              <w:t>符合</w:t>
            </w:r>
            <w:r>
              <w:rPr>
                <w:rFonts w:hint="eastAsia" w:ascii="Times New Roman" w:hAnsi="Times New Roman" w:cs="Times New Roman" w:eastAsiaTheme="minorEastAsia"/>
                <w:sz w:val="21"/>
                <w:szCs w:val="21"/>
                <w:lang w:eastAsia="zh-CN"/>
              </w:rPr>
              <w:t>询价</w:t>
            </w:r>
            <w:r>
              <w:rPr>
                <w:rFonts w:hint="eastAsia" w:cs="Times New Roman"/>
                <w:kern w:val="2"/>
                <w:sz w:val="21"/>
                <w:szCs w:val="21"/>
              </w:rPr>
              <w:t>文件要求。</w:t>
            </w:r>
          </w:p>
        </w:tc>
      </w:tr>
      <w:tr w14:paraId="3218A8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516" w:type="pct"/>
            <w:vAlign w:val="center"/>
          </w:tcPr>
          <w:p w14:paraId="26875FB4">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hint="eastAsia" w:ascii="Times New Roman" w:hAnsi="Times New Roman" w:cs="Times New Roman" w:eastAsiaTheme="minorEastAsia"/>
                <w:szCs w:val="21"/>
                <w:lang w:eastAsia="zh-CN"/>
              </w:rPr>
            </w:pPr>
            <w:r>
              <w:rPr>
                <w:rFonts w:hint="eastAsia" w:ascii="Times New Roman" w:hAnsi="Times New Roman" w:cs="Times New Roman"/>
                <w:szCs w:val="21"/>
                <w:lang w:val="en-US" w:eastAsia="zh-CN"/>
              </w:rPr>
              <w:t>6</w:t>
            </w:r>
          </w:p>
        </w:tc>
        <w:tc>
          <w:tcPr>
            <w:tcW w:w="1159" w:type="pct"/>
            <w:vAlign w:val="center"/>
          </w:tcPr>
          <w:p w14:paraId="2D9C03A4">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其他要求</w:t>
            </w:r>
          </w:p>
        </w:tc>
        <w:tc>
          <w:tcPr>
            <w:tcW w:w="3324" w:type="pct"/>
            <w:vAlign w:val="center"/>
          </w:tcPr>
          <w:p w14:paraId="2D791822">
            <w:pPr>
              <w:keepNext w:val="0"/>
              <w:keepLines w:val="0"/>
              <w:pageBreakBefore w:val="0"/>
              <w:widowControl w:val="0"/>
              <w:kinsoku/>
              <w:wordWrap/>
              <w:overflowPunct/>
              <w:topLinePunct w:val="0"/>
              <w:autoSpaceDE/>
              <w:autoSpaceDN/>
              <w:bidi w:val="0"/>
              <w:spacing w:after="50" w:line="440" w:lineRule="exact"/>
              <w:ind w:right="-10"/>
              <w:jc w:val="left"/>
              <w:textAlignment w:val="auto"/>
              <w:rPr>
                <w:rFonts w:ascii="Times New Roman" w:hAnsi="Times New Roman" w:cs="Times New Roman" w:eastAsiaTheme="minorEastAsia"/>
                <w:szCs w:val="21"/>
              </w:rPr>
            </w:pPr>
            <w:r>
              <w:rPr>
                <w:rFonts w:ascii="Times New Roman" w:hAnsi="Times New Roman" w:cs="Times New Roman" w:eastAsiaTheme="minorEastAsia"/>
                <w:szCs w:val="21"/>
              </w:rPr>
              <w:t>符合法律、行政法规规定的其他条件或询价文件列明的其他要求。</w:t>
            </w:r>
          </w:p>
        </w:tc>
      </w:tr>
      <w:tr w14:paraId="737424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4" w:hRule="atLeast"/>
          <w:jc w:val="center"/>
        </w:trPr>
        <w:tc>
          <w:tcPr>
            <w:tcW w:w="5000" w:type="pct"/>
            <w:gridSpan w:val="3"/>
            <w:vAlign w:val="center"/>
          </w:tcPr>
          <w:p w14:paraId="6618A19F">
            <w:pPr>
              <w:keepNext w:val="0"/>
              <w:keepLines w:val="0"/>
              <w:pageBreakBefore w:val="0"/>
              <w:widowControl w:val="0"/>
              <w:kinsoku/>
              <w:wordWrap/>
              <w:overflowPunct/>
              <w:topLinePunct w:val="0"/>
              <w:autoSpaceDE/>
              <w:autoSpaceDN/>
              <w:bidi w:val="0"/>
              <w:spacing w:line="440" w:lineRule="exact"/>
              <w:textAlignment w:val="auto"/>
              <w:rPr>
                <w:rFonts w:ascii="Times New Roman" w:hAnsi="Times New Roman" w:cs="Times New Roman" w:eastAsiaTheme="minorEastAsia"/>
                <w:szCs w:val="21"/>
              </w:rPr>
            </w:pPr>
            <w:r>
              <w:rPr>
                <w:rFonts w:ascii="Times New Roman" w:hAnsi="Times New Roman" w:cs="Times New Roman" w:eastAsiaTheme="minorEastAsia"/>
                <w:b/>
                <w:bCs/>
                <w:szCs w:val="21"/>
              </w:rPr>
              <w:t>评审指标通过标准：</w:t>
            </w:r>
            <w:r>
              <w:rPr>
                <w:rFonts w:ascii="Times New Roman" w:hAnsi="Times New Roman" w:cs="Times New Roman" w:eastAsiaTheme="minorEastAsia"/>
                <w:szCs w:val="21"/>
              </w:rPr>
              <w:t>投标人必须通过评审表中的全部评审指标。</w:t>
            </w:r>
          </w:p>
          <w:p w14:paraId="19EDE152">
            <w:pPr>
              <w:keepNext w:val="0"/>
              <w:keepLines w:val="0"/>
              <w:pageBreakBefore w:val="0"/>
              <w:widowControl w:val="0"/>
              <w:kinsoku/>
              <w:wordWrap/>
              <w:overflowPunct/>
              <w:topLinePunct w:val="0"/>
              <w:autoSpaceDE/>
              <w:autoSpaceDN/>
              <w:bidi w:val="0"/>
              <w:spacing w:after="50" w:line="440" w:lineRule="exact"/>
              <w:ind w:right="-10"/>
              <w:jc w:val="left"/>
              <w:textAlignment w:val="auto"/>
              <w:rPr>
                <w:rFonts w:ascii="Times New Roman" w:hAnsi="Times New Roman" w:cs="Times New Roman" w:eastAsiaTheme="minorEastAsia"/>
                <w:szCs w:val="21"/>
              </w:rPr>
            </w:pPr>
            <w:r>
              <w:rPr>
                <w:rFonts w:ascii="Times New Roman" w:hAnsi="Times New Roman" w:cs="Times New Roman" w:eastAsiaTheme="minorEastAsia"/>
                <w:szCs w:val="21"/>
              </w:rPr>
              <w:t>评审小组根据表中所列各项指标对投标人是否为有</w:t>
            </w:r>
            <w:r>
              <w:rPr>
                <w:rFonts w:hint="eastAsia" w:ascii="Times New Roman" w:hAnsi="Times New Roman" w:cs="Times New Roman"/>
                <w:szCs w:val="21"/>
                <w:lang w:eastAsia="zh-CN"/>
              </w:rPr>
              <w:t>效投</w:t>
            </w:r>
            <w:r>
              <w:rPr>
                <w:rFonts w:ascii="Times New Roman" w:hAnsi="Times New Roman" w:cs="Times New Roman" w:eastAsiaTheme="minorEastAsia"/>
                <w:szCs w:val="21"/>
              </w:rPr>
              <w:t>标进行评审，未列入上表中的指标不得作为否决投标依据。符合评审指标通过标准的，为有效投标。</w:t>
            </w:r>
          </w:p>
        </w:tc>
      </w:tr>
      <w:bookmarkEnd w:id="10"/>
      <w:bookmarkEnd w:id="11"/>
    </w:tbl>
    <w:p w14:paraId="3BD97E86">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8.中标人的推荐原则及标准</w:t>
      </w:r>
    </w:p>
    <w:p w14:paraId="67744EA0">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8.1对通过评审的有效投标人，按其最终报价由低到高的顺序选出中标人。</w:t>
      </w:r>
    </w:p>
    <w:p w14:paraId="15795769">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8.2如果有效投标人的最终报价出现两家或两家以上相同者，则采取评审小组评委</w:t>
      </w:r>
      <w:r>
        <w:rPr>
          <w:rFonts w:hint="eastAsia" w:ascii="Times New Roman" w:hAnsi="Times New Roman" w:cs="Times New Roman"/>
          <w:szCs w:val="16"/>
          <w:lang w:val="en-US" w:eastAsia="zh-CN"/>
        </w:rPr>
        <w:t>抽签</w:t>
      </w:r>
      <w:r>
        <w:rPr>
          <w:rFonts w:ascii="Times New Roman" w:hAnsi="Times New Roman" w:cs="Times New Roman" w:eastAsiaTheme="minorEastAsia"/>
          <w:szCs w:val="16"/>
        </w:rPr>
        <w:t>的方式确定中标人。</w:t>
      </w:r>
    </w:p>
    <w:p w14:paraId="40B937C0">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9.评审小组在评标过程中发现的问题，应当及时作出处理或者向招标人提出处理建议，并作书面记录。</w:t>
      </w:r>
    </w:p>
    <w:p w14:paraId="2AC1DE74">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10. 在评审过程中，评审小组发现投标人的报价或者某些分项报价可能低于成本或者高于询价文件设定的最高投标限价的，评审小组将以询标的方式告知并要求投标人进行必要的说明或补正，经评审小组认定其报价低于成本或者高于询价文件设定的最高投标限价的，将否决其投标。对于询标后判定为不符合询价文件的报价，评委要提出充足的否定理由，并予以书面记录。最终对投标人的评审结论分为通过和未通过。</w:t>
      </w:r>
    </w:p>
    <w:p w14:paraId="0F39B22E">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11.投标人最终报价与公布的预算价（或最高投标限价（招标控制价）)相比降幅过小，或投标人最终报价明显缺乏竞争性的，评审小组可以否决所有投标。</w:t>
      </w:r>
    </w:p>
    <w:p w14:paraId="4C0C39F8">
      <w:pPr>
        <w:spacing w:line="360" w:lineRule="auto"/>
        <w:ind w:firstLine="420" w:firstLineChars="200"/>
      </w:pPr>
      <w:r>
        <w:rPr>
          <w:rFonts w:ascii="Times New Roman" w:hAnsi="Times New Roman" w:cs="Times New Roman" w:eastAsiaTheme="minorEastAsia"/>
          <w:szCs w:val="16"/>
        </w:rPr>
        <w:t>12.评标后，评审小组应写出评标报告并签字。评标报告是评审小组根据全体评标成员签字的原始评标记录和评标结果编写的报告，评审小组全体成员及监督员均须在评标报告上签字。评标报告应如实记录本次评标的主要过程，全面反映评标过程中的各种不同的意见，以及其他澄清、说明、补正事项。</w:t>
      </w:r>
    </w:p>
    <w:p w14:paraId="07ED62F6">
      <w:pPr>
        <w:widowControl/>
        <w:jc w:val="left"/>
        <w:rPr>
          <w:rFonts w:ascii="Times New Roman" w:hAnsi="Times New Roman" w:cs="Times New Roman" w:eastAsiaTheme="minorEastAsia"/>
          <w:bCs/>
          <w:sz w:val="24"/>
        </w:rPr>
      </w:pPr>
      <w:r>
        <w:rPr>
          <w:rFonts w:ascii="Times New Roman" w:hAnsi="Times New Roman" w:cs="Times New Roman" w:eastAsiaTheme="minorEastAsia"/>
          <w:bCs/>
          <w:sz w:val="24"/>
        </w:rPr>
        <w:br w:type="page"/>
      </w:r>
    </w:p>
    <w:p w14:paraId="1AD24213">
      <w:pPr>
        <w:ind w:left="420"/>
        <w:jc w:val="center"/>
        <w:rPr>
          <w:rFonts w:hint="eastAsia"/>
          <w:b/>
          <w:color w:val="000000"/>
          <w:sz w:val="48"/>
          <w:szCs w:val="48"/>
        </w:rPr>
      </w:pPr>
      <w:bookmarkStart w:id="12" w:name="_Toc28197"/>
      <w:r>
        <w:rPr>
          <w:rFonts w:hint="eastAsia"/>
          <w:b/>
          <w:color w:val="000000"/>
          <w:sz w:val="48"/>
          <w:szCs w:val="48"/>
        </w:rPr>
        <w:t>文旅集团2024年下半年集中处置资产评估评估服务合同</w:t>
      </w:r>
    </w:p>
    <w:p w14:paraId="60DBF29F">
      <w:pPr>
        <w:ind w:left="420"/>
        <w:jc w:val="center"/>
        <w:rPr>
          <w:rFonts w:hint="eastAsia" w:eastAsiaTheme="minorEastAsia"/>
          <w:b/>
          <w:color w:val="000000"/>
          <w:sz w:val="48"/>
          <w:szCs w:val="48"/>
          <w:lang w:eastAsia="zh-CN"/>
        </w:rPr>
      </w:pPr>
      <w:r>
        <w:rPr>
          <w:rFonts w:hint="eastAsia"/>
          <w:b/>
          <w:color w:val="000000"/>
          <w:sz w:val="48"/>
          <w:szCs w:val="48"/>
          <w:lang w:eastAsia="zh-CN"/>
        </w:rPr>
        <w:t>（</w:t>
      </w:r>
      <w:r>
        <w:rPr>
          <w:rFonts w:hint="eastAsia"/>
          <w:b/>
          <w:color w:val="000000"/>
          <w:sz w:val="48"/>
          <w:szCs w:val="48"/>
          <w:lang w:val="en-US" w:eastAsia="zh-CN"/>
        </w:rPr>
        <w:t>供参考</w:t>
      </w:r>
      <w:r>
        <w:rPr>
          <w:rFonts w:hint="eastAsia"/>
          <w:b/>
          <w:color w:val="000000"/>
          <w:sz w:val="48"/>
          <w:szCs w:val="48"/>
          <w:lang w:eastAsia="zh-CN"/>
        </w:rPr>
        <w:t>）</w:t>
      </w:r>
    </w:p>
    <w:p w14:paraId="6736831E">
      <w:pPr>
        <w:rPr>
          <w:b/>
          <w:color w:val="000000"/>
          <w:sz w:val="52"/>
          <w:szCs w:val="52"/>
        </w:rPr>
      </w:pPr>
    </w:p>
    <w:p w14:paraId="0F20DFD0">
      <w:pPr>
        <w:widowControl/>
        <w:spacing w:before="109" w:line="440" w:lineRule="atLeast"/>
        <w:ind w:firstLine="640"/>
        <w:rPr>
          <w:rFonts w:ascii="黑体" w:hAnsi="Times New Roman" w:eastAsia="黑体"/>
          <w:color w:val="000000"/>
          <w:kern w:val="0"/>
          <w:sz w:val="32"/>
          <w:szCs w:val="32"/>
        </w:rPr>
      </w:pPr>
    </w:p>
    <w:p w14:paraId="24124685">
      <w:pPr>
        <w:ind w:firstLine="199" w:firstLineChars="95"/>
        <w:rPr>
          <w:rFonts w:ascii="宋体" w:hAnsi="宋体"/>
          <w:color w:val="000000"/>
        </w:rPr>
      </w:pPr>
    </w:p>
    <w:p w14:paraId="5005E648">
      <w:pPr>
        <w:ind w:firstLine="199" w:firstLineChars="95"/>
        <w:rPr>
          <w:rFonts w:ascii="宋体" w:hAnsi="宋体"/>
          <w:color w:val="000000"/>
        </w:rPr>
      </w:pPr>
    </w:p>
    <w:p w14:paraId="75B174BB">
      <w:pPr>
        <w:ind w:firstLine="199" w:firstLineChars="95"/>
        <w:rPr>
          <w:rFonts w:ascii="宋体" w:hAnsi="宋体"/>
          <w:color w:val="000000"/>
        </w:rPr>
      </w:pPr>
    </w:p>
    <w:p w14:paraId="1A078B4F">
      <w:pPr>
        <w:ind w:firstLine="199" w:firstLineChars="95"/>
        <w:rPr>
          <w:rFonts w:ascii="宋体" w:hAnsi="宋体"/>
          <w:color w:val="000000"/>
        </w:rPr>
      </w:pPr>
    </w:p>
    <w:p w14:paraId="6A380A6B">
      <w:pPr>
        <w:ind w:firstLine="199" w:firstLineChars="95"/>
        <w:rPr>
          <w:rFonts w:ascii="宋体" w:hAnsi="宋体"/>
          <w:color w:val="000000"/>
        </w:rPr>
      </w:pPr>
    </w:p>
    <w:p w14:paraId="7A7A62C5">
      <w:pPr>
        <w:ind w:firstLine="199" w:firstLineChars="95"/>
        <w:rPr>
          <w:rFonts w:ascii="宋体" w:hAnsi="宋体"/>
          <w:color w:val="000000"/>
        </w:rPr>
      </w:pPr>
    </w:p>
    <w:p w14:paraId="5BA6017E">
      <w:pPr>
        <w:ind w:firstLine="199" w:firstLineChars="95"/>
        <w:rPr>
          <w:rFonts w:ascii="宋体" w:hAnsi="宋体"/>
          <w:color w:val="000000"/>
        </w:rPr>
      </w:pPr>
    </w:p>
    <w:p w14:paraId="7DC62CED">
      <w:pPr>
        <w:ind w:firstLine="199" w:firstLineChars="95"/>
        <w:rPr>
          <w:rFonts w:ascii="宋体" w:hAnsi="宋体"/>
          <w:color w:val="000000"/>
        </w:rPr>
      </w:pPr>
    </w:p>
    <w:p w14:paraId="13699AF7">
      <w:pPr>
        <w:ind w:firstLine="199" w:firstLineChars="95"/>
        <w:rPr>
          <w:rFonts w:ascii="宋体" w:hAnsi="宋体"/>
          <w:color w:val="000000"/>
        </w:rPr>
      </w:pPr>
    </w:p>
    <w:p w14:paraId="3B4EB2AE">
      <w:pPr>
        <w:ind w:firstLine="199" w:firstLineChars="95"/>
        <w:rPr>
          <w:rFonts w:hint="eastAsia" w:ascii="宋体" w:hAnsi="宋体"/>
          <w:color w:val="000000"/>
        </w:rPr>
      </w:pPr>
    </w:p>
    <w:p w14:paraId="37A481C1">
      <w:pPr>
        <w:pStyle w:val="8"/>
        <w:ind w:firstLine="199" w:firstLineChars="95"/>
        <w:rPr>
          <w:rFonts w:ascii="宋体" w:hAnsi="宋体"/>
          <w:color w:val="000000"/>
        </w:rPr>
      </w:pPr>
    </w:p>
    <w:p w14:paraId="177A215F">
      <w:pPr>
        <w:jc w:val="left"/>
        <w:rPr>
          <w:rFonts w:hint="eastAsia" w:ascii="宋体" w:hAnsi="宋体"/>
          <w:color w:val="000000"/>
        </w:rPr>
      </w:pPr>
    </w:p>
    <w:p w14:paraId="64D17F76">
      <w:pPr>
        <w:jc w:val="left"/>
        <w:rPr>
          <w:rFonts w:ascii="宋体" w:hAnsi="宋体"/>
          <w:color w:val="000000"/>
        </w:rPr>
      </w:pPr>
    </w:p>
    <w:p w14:paraId="2BA223A1">
      <w:pPr>
        <w:ind w:firstLine="562" w:firstLineChars="200"/>
        <w:jc w:val="left"/>
        <w:rPr>
          <w:rFonts w:ascii="宋体" w:hAnsi="宋体"/>
          <w:b/>
          <w:color w:val="000000"/>
          <w:sz w:val="28"/>
          <w:szCs w:val="28"/>
        </w:rPr>
      </w:pPr>
      <w:r>
        <w:rPr>
          <w:rFonts w:hint="eastAsia" w:ascii="宋体" w:hAnsi="宋体"/>
          <w:b/>
          <w:color w:val="000000"/>
          <w:sz w:val="28"/>
          <w:szCs w:val="28"/>
        </w:rPr>
        <w:t>委托人：</w:t>
      </w:r>
      <w:r>
        <w:rPr>
          <w:rFonts w:hint="eastAsia" w:ascii="宋体" w:hAnsi="宋体"/>
          <w:color w:val="000000"/>
          <w:sz w:val="28"/>
          <w:szCs w:val="28"/>
        </w:rPr>
        <w:t>合肥文旅博览集团有限公司</w:t>
      </w:r>
      <w:r>
        <w:rPr>
          <w:rFonts w:hint="eastAsia" w:ascii="宋体" w:hAnsi="宋体"/>
          <w:b/>
          <w:color w:val="000000"/>
          <w:sz w:val="28"/>
          <w:szCs w:val="28"/>
        </w:rPr>
        <w:t xml:space="preserve"> </w:t>
      </w:r>
    </w:p>
    <w:p w14:paraId="4B8A41B5">
      <w:pPr>
        <w:ind w:firstLine="562" w:firstLineChars="200"/>
        <w:jc w:val="left"/>
        <w:rPr>
          <w:rFonts w:ascii="宋体" w:hAnsi="宋体"/>
          <w:color w:val="000000"/>
          <w:sz w:val="28"/>
          <w:szCs w:val="28"/>
          <w:u w:val="single"/>
        </w:rPr>
      </w:pPr>
      <w:r>
        <w:rPr>
          <w:rFonts w:hint="eastAsia" w:ascii="宋体" w:hAnsi="宋体"/>
          <w:b/>
          <w:color w:val="000000"/>
          <w:sz w:val="28"/>
          <w:szCs w:val="28"/>
        </w:rPr>
        <w:t>受托人：</w:t>
      </w:r>
      <w:r>
        <w:rPr>
          <w:rFonts w:ascii="宋体" w:hAnsi="宋体"/>
          <w:color w:val="000000"/>
          <w:sz w:val="28"/>
          <w:szCs w:val="28"/>
          <w:u w:val="single"/>
        </w:rPr>
        <w:t xml:space="preserve"> </w:t>
      </w:r>
      <w:r>
        <w:rPr>
          <w:rFonts w:hint="eastAsia" w:ascii="宋体" w:hAnsi="宋体"/>
          <w:color w:val="000000"/>
          <w:sz w:val="28"/>
          <w:szCs w:val="28"/>
          <w:u w:val="single"/>
        </w:rPr>
        <w:t xml:space="preserve">                        </w:t>
      </w:r>
    </w:p>
    <w:p w14:paraId="2FAAABAA">
      <w:pPr>
        <w:ind w:firstLine="551" w:firstLineChars="196"/>
        <w:rPr>
          <w:rFonts w:ascii="宋体" w:hAnsi="宋体" w:cs="宋体"/>
          <w:color w:val="000000"/>
          <w:kern w:val="0"/>
          <w:sz w:val="20"/>
          <w:szCs w:val="20"/>
        </w:rPr>
      </w:pPr>
      <w:r>
        <w:rPr>
          <w:rFonts w:hint="eastAsia" w:ascii="宋体" w:hAnsi="宋体"/>
          <w:b/>
          <w:color w:val="000000"/>
          <w:sz w:val="28"/>
          <w:szCs w:val="28"/>
        </w:rPr>
        <w:t>合同编号：</w:t>
      </w:r>
      <w:r>
        <w:rPr>
          <w:rFonts w:hint="eastAsia" w:ascii="宋体" w:hAnsi="宋体"/>
          <w:color w:val="000000"/>
          <w:sz w:val="28"/>
          <w:szCs w:val="28"/>
        </w:rPr>
        <w:t>文旅博览（202</w:t>
      </w:r>
      <w:r>
        <w:rPr>
          <w:rFonts w:hint="eastAsia" w:ascii="宋体" w:hAnsi="宋体"/>
          <w:color w:val="000000"/>
          <w:sz w:val="28"/>
          <w:szCs w:val="28"/>
          <w:lang w:val="en-US" w:eastAsia="zh-CN"/>
        </w:rPr>
        <w:t>4</w:t>
      </w:r>
      <w:r>
        <w:rPr>
          <w:rFonts w:hint="eastAsia" w:ascii="宋体" w:hAnsi="宋体"/>
          <w:color w:val="000000"/>
          <w:sz w:val="28"/>
          <w:szCs w:val="28"/>
        </w:rPr>
        <w:t>）第   号合同</w:t>
      </w:r>
    </w:p>
    <w:p w14:paraId="0262EC2E">
      <w:pPr>
        <w:ind w:firstLine="562" w:firstLineChars="200"/>
        <w:rPr>
          <w:rFonts w:ascii="宋体" w:hAnsi="宋体"/>
          <w:b/>
          <w:color w:val="000000"/>
          <w:sz w:val="28"/>
          <w:szCs w:val="28"/>
          <w:u w:val="single"/>
        </w:rPr>
      </w:pPr>
    </w:p>
    <w:p w14:paraId="0C27493A">
      <w:pPr>
        <w:sectPr>
          <w:pgSz w:w="11906" w:h="16838"/>
          <w:pgMar w:top="1440" w:right="1800" w:bottom="1440" w:left="1800" w:header="851" w:footer="992" w:gutter="0"/>
          <w:cols w:space="425" w:num="1"/>
          <w:docGrid w:type="lines" w:linePitch="312" w:charSpace="0"/>
        </w:sectPr>
      </w:pPr>
    </w:p>
    <w:p w14:paraId="52E88C0C">
      <w:pPr>
        <w:spacing w:line="360" w:lineRule="auto"/>
        <w:ind w:firstLine="480" w:firstLineChars="200"/>
        <w:rPr>
          <w:rFonts w:ascii="宋体" w:hAnsi="宋体"/>
          <w:color w:val="000000"/>
          <w:sz w:val="24"/>
          <w:szCs w:val="24"/>
        </w:rPr>
        <w:sectPr>
          <w:type w:val="continuous"/>
          <w:pgSz w:w="11906" w:h="16838"/>
          <w:pgMar w:top="1440" w:right="1800" w:bottom="1440" w:left="1800" w:header="851" w:footer="992" w:gutter="0"/>
          <w:cols w:space="425" w:num="1"/>
          <w:docGrid w:type="lines" w:linePitch="312" w:charSpace="0"/>
        </w:sectPr>
      </w:pPr>
    </w:p>
    <w:p w14:paraId="43D3F04D">
      <w:pPr>
        <w:pStyle w:val="55"/>
        <w:spacing w:line="531" w:lineRule="exact"/>
        <w:ind w:left="0" w:leftChars="0" w:firstLine="0" w:firstLineChars="0"/>
        <w:jc w:val="center"/>
        <w:rPr>
          <w:rFonts w:hint="eastAsia" w:asciiTheme="minorEastAsia" w:hAnsiTheme="minorEastAsia" w:eastAsiaTheme="minorEastAsia" w:cstheme="minorEastAsia"/>
          <w:b/>
          <w:kern w:val="0"/>
          <w:sz w:val="28"/>
          <w:szCs w:val="28"/>
        </w:rPr>
      </w:pPr>
      <w:r>
        <w:rPr>
          <w:rFonts w:hint="eastAsia" w:asciiTheme="minorEastAsia" w:hAnsiTheme="minorEastAsia" w:eastAsiaTheme="minorEastAsia" w:cstheme="minorEastAsia"/>
          <w:b/>
          <w:kern w:val="0"/>
          <w:sz w:val="28"/>
          <w:szCs w:val="28"/>
          <w:lang w:val="en-US" w:eastAsia="zh-CN"/>
        </w:rPr>
        <w:t>评估</w:t>
      </w:r>
      <w:r>
        <w:rPr>
          <w:rFonts w:hint="eastAsia" w:asciiTheme="minorEastAsia" w:hAnsiTheme="minorEastAsia" w:eastAsiaTheme="minorEastAsia" w:cstheme="minorEastAsia"/>
          <w:b/>
          <w:kern w:val="0"/>
          <w:sz w:val="28"/>
          <w:szCs w:val="28"/>
        </w:rPr>
        <w:t>业务约定书</w:t>
      </w:r>
    </w:p>
    <w:p w14:paraId="6616E519">
      <w:pPr>
        <w:pStyle w:val="55"/>
        <w:spacing w:line="531" w:lineRule="exact"/>
        <w:ind w:left="0" w:leftChars="0" w:firstLine="0" w:firstLineChars="0"/>
        <w:jc w:val="right"/>
        <w:rPr>
          <w:rFonts w:hint="eastAsia" w:asciiTheme="minorEastAsia" w:hAnsiTheme="minorEastAsia" w:eastAsiaTheme="minorEastAsia" w:cstheme="minorEastAsia"/>
          <w:b w:val="0"/>
          <w:bCs/>
          <w:kern w:val="0"/>
          <w:sz w:val="21"/>
          <w:szCs w:val="21"/>
        </w:rPr>
      </w:pPr>
      <w:r>
        <w:rPr>
          <w:rFonts w:hint="eastAsia" w:asciiTheme="minorEastAsia" w:hAnsiTheme="minorEastAsia" w:eastAsiaTheme="minorEastAsia" w:cstheme="minorEastAsia"/>
          <w:b w:val="0"/>
          <w:bCs/>
          <w:kern w:val="0"/>
          <w:sz w:val="21"/>
          <w:szCs w:val="21"/>
        </w:rPr>
        <w:t>文旅博览（202</w:t>
      </w:r>
      <w:r>
        <w:rPr>
          <w:rFonts w:hint="eastAsia" w:asciiTheme="minorEastAsia" w:hAnsiTheme="minorEastAsia" w:eastAsiaTheme="minorEastAsia" w:cstheme="minorEastAsia"/>
          <w:b w:val="0"/>
          <w:bCs/>
          <w:kern w:val="0"/>
          <w:sz w:val="21"/>
          <w:szCs w:val="21"/>
          <w:lang w:val="en-US" w:eastAsia="zh-CN"/>
        </w:rPr>
        <w:t>5</w:t>
      </w:r>
      <w:r>
        <w:rPr>
          <w:rFonts w:hint="eastAsia" w:asciiTheme="minorEastAsia" w:hAnsiTheme="minorEastAsia" w:eastAsiaTheme="minorEastAsia" w:cstheme="minorEastAsia"/>
          <w:b w:val="0"/>
          <w:bCs/>
          <w:kern w:val="0"/>
          <w:sz w:val="21"/>
          <w:szCs w:val="21"/>
        </w:rPr>
        <w:t>）第</w:t>
      </w:r>
      <w:r>
        <w:rPr>
          <w:rFonts w:hint="eastAsia" w:asciiTheme="minorEastAsia" w:hAnsiTheme="minorEastAsia" w:eastAsiaTheme="minorEastAsia" w:cstheme="minorEastAsia"/>
          <w:b w:val="0"/>
          <w:bCs/>
          <w:kern w:val="0"/>
          <w:sz w:val="21"/>
          <w:szCs w:val="21"/>
          <w:lang w:val="en-US" w:eastAsia="zh-CN"/>
        </w:rPr>
        <w:t xml:space="preserve">   </w:t>
      </w:r>
      <w:r>
        <w:rPr>
          <w:rFonts w:hint="eastAsia" w:asciiTheme="minorEastAsia" w:hAnsiTheme="minorEastAsia" w:eastAsiaTheme="minorEastAsia" w:cstheme="minorEastAsia"/>
          <w:b w:val="0"/>
          <w:bCs/>
          <w:kern w:val="0"/>
          <w:sz w:val="21"/>
          <w:szCs w:val="21"/>
        </w:rPr>
        <w:t>号合同</w:t>
      </w:r>
    </w:p>
    <w:p w14:paraId="64D35AC7">
      <w:pPr>
        <w:pStyle w:val="55"/>
        <w:keepNext w:val="0"/>
        <w:keepLines w:val="0"/>
        <w:pageBreakBefore w:val="0"/>
        <w:kinsoku/>
        <w:wordWrap/>
        <w:overflowPunct/>
        <w:topLinePunct w:val="0"/>
        <w:autoSpaceDE/>
        <w:autoSpaceDN/>
        <w:bidi w:val="0"/>
        <w:spacing w:line="520" w:lineRule="atLeast"/>
        <w:ind w:left="0" w:leftChars="0" w:firstLine="0" w:firstLineChars="0"/>
        <w:jc w:val="both"/>
        <w:textAlignment w:val="auto"/>
        <w:rPr>
          <w:rFonts w:hint="eastAsia" w:asciiTheme="minorEastAsia" w:hAnsiTheme="minorEastAsia" w:eastAsiaTheme="minorEastAsia" w:cstheme="minorEastAsia"/>
          <w:kern w:val="0"/>
          <w:sz w:val="21"/>
          <w:szCs w:val="21"/>
          <w:highlight w:val="none"/>
          <w:lang w:eastAsia="zh-CN"/>
        </w:rPr>
      </w:pPr>
      <w:r>
        <w:rPr>
          <w:rFonts w:hint="eastAsia" w:asciiTheme="minorEastAsia" w:hAnsiTheme="minorEastAsia" w:eastAsiaTheme="minorEastAsia" w:cstheme="minorEastAsia"/>
          <w:kern w:val="0"/>
          <w:sz w:val="21"/>
          <w:szCs w:val="21"/>
          <w:highlight w:val="none"/>
          <w:lang w:eastAsia="zh-CN"/>
        </w:rPr>
        <w:t>委托方（甲方）：</w:t>
      </w:r>
      <w:r>
        <w:rPr>
          <w:rFonts w:hint="eastAsia" w:asciiTheme="minorEastAsia" w:hAnsiTheme="minorEastAsia" w:eastAsiaTheme="minorEastAsia" w:cstheme="minorEastAsia"/>
          <w:kern w:val="0"/>
          <w:sz w:val="21"/>
          <w:szCs w:val="21"/>
          <w:highlight w:val="none"/>
          <w:lang w:val="en-US" w:eastAsia="zh-CN"/>
        </w:rPr>
        <w:t>合肥文旅博览集团有限公司</w:t>
      </w:r>
    </w:p>
    <w:p w14:paraId="0339770B">
      <w:pPr>
        <w:pStyle w:val="55"/>
        <w:keepNext w:val="0"/>
        <w:keepLines w:val="0"/>
        <w:pageBreakBefore w:val="0"/>
        <w:kinsoku/>
        <w:wordWrap/>
        <w:overflowPunct/>
        <w:topLinePunct w:val="0"/>
        <w:autoSpaceDE/>
        <w:autoSpaceDN/>
        <w:bidi w:val="0"/>
        <w:spacing w:line="520" w:lineRule="atLeast"/>
        <w:ind w:left="0" w:leftChars="0" w:firstLine="0" w:firstLineChars="0"/>
        <w:jc w:val="both"/>
        <w:textAlignment w:val="auto"/>
        <w:rPr>
          <w:rFonts w:hint="eastAsia" w:asciiTheme="minorEastAsia" w:hAnsiTheme="minorEastAsia" w:eastAsiaTheme="minorEastAsia" w:cstheme="minorEastAsia"/>
          <w:kern w:val="0"/>
          <w:sz w:val="21"/>
          <w:szCs w:val="21"/>
          <w:highlight w:val="none"/>
          <w:lang w:val="en-US" w:eastAsia="zh-CN"/>
        </w:rPr>
      </w:pPr>
      <w:r>
        <w:rPr>
          <w:rFonts w:hint="eastAsia" w:asciiTheme="minorEastAsia" w:hAnsiTheme="minorEastAsia" w:eastAsiaTheme="minorEastAsia" w:cstheme="minorEastAsia"/>
          <w:kern w:val="0"/>
          <w:sz w:val="21"/>
          <w:szCs w:val="21"/>
          <w:highlight w:val="none"/>
          <w:lang w:eastAsia="zh-CN"/>
        </w:rPr>
        <w:t>受托方（乙方）：</w:t>
      </w:r>
      <w:r>
        <w:rPr>
          <w:rFonts w:hint="eastAsia" w:asciiTheme="minorEastAsia" w:hAnsiTheme="minorEastAsia" w:eastAsiaTheme="minorEastAsia" w:cstheme="minorEastAsia"/>
          <w:kern w:val="0"/>
          <w:sz w:val="21"/>
          <w:szCs w:val="21"/>
          <w:highlight w:val="none"/>
          <w:lang w:val="en-US" w:eastAsia="zh-CN"/>
        </w:rPr>
        <w:t xml:space="preserve">    </w:t>
      </w:r>
    </w:p>
    <w:p w14:paraId="25A2AA76">
      <w:pPr>
        <w:pStyle w:val="55"/>
        <w:keepNext w:val="0"/>
        <w:keepLines w:val="0"/>
        <w:pageBreakBefore w:val="0"/>
        <w:kinsoku/>
        <w:wordWrap/>
        <w:overflowPunct/>
        <w:topLinePunct w:val="0"/>
        <w:autoSpaceDE/>
        <w:autoSpaceDN/>
        <w:bidi w:val="0"/>
        <w:spacing w:line="520" w:lineRule="atLeast"/>
        <w:ind w:firstLine="620"/>
        <w:jc w:val="both"/>
        <w:textAlignment w:val="auto"/>
        <w:rPr>
          <w:rFonts w:hint="eastAsia" w:asciiTheme="minorEastAsia" w:hAnsiTheme="minorEastAsia" w:eastAsiaTheme="minorEastAsia" w:cstheme="minorEastAsia"/>
          <w:kern w:val="0"/>
          <w:sz w:val="21"/>
          <w:szCs w:val="21"/>
          <w:highlight w:val="none"/>
          <w:lang w:val="en-US" w:eastAsia="zh-CN"/>
        </w:rPr>
      </w:pPr>
    </w:p>
    <w:p w14:paraId="3EE8B8BD">
      <w:pPr>
        <w:keepNext w:val="0"/>
        <w:keepLines w:val="0"/>
        <w:pageBreakBefore w:val="0"/>
        <w:kinsoku/>
        <w:wordWrap/>
        <w:overflowPunct/>
        <w:topLinePunct w:val="0"/>
        <w:autoSpaceDE/>
        <w:autoSpaceDN/>
        <w:bidi w:val="0"/>
        <w:snapToGrid w:val="0"/>
        <w:spacing w:line="520" w:lineRule="atLeast"/>
        <w:ind w:firstLine="420" w:firstLineChars="200"/>
        <w:jc w:val="both"/>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甲乙双方根据《中华人民共和国民法典》及《资产评估执业准则——资产评估委托合同》的规定，为明确双方的权利和义务，经双方协商同意签订本合同。</w:t>
      </w:r>
    </w:p>
    <w:p w14:paraId="1E6EBE61">
      <w:pPr>
        <w:keepNext w:val="0"/>
        <w:keepLines w:val="0"/>
        <w:pageBreakBefore w:val="0"/>
        <w:kinsoku/>
        <w:wordWrap/>
        <w:overflowPunct/>
        <w:topLinePunct w:val="0"/>
        <w:autoSpaceDE/>
        <w:autoSpaceDN/>
        <w:bidi w:val="0"/>
        <w:snapToGrid w:val="0"/>
        <w:spacing w:line="520" w:lineRule="atLeast"/>
        <w:ind w:firstLine="422" w:firstLineChars="200"/>
        <w:jc w:val="both"/>
        <w:textAlignment w:val="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一、评估目的</w:t>
      </w:r>
      <w:r>
        <w:rPr>
          <w:rFonts w:hint="eastAsia" w:asciiTheme="minorEastAsia" w:hAnsiTheme="minorEastAsia" w:eastAsiaTheme="minorEastAsia" w:cstheme="minorEastAsia"/>
          <w:b/>
          <w:sz w:val="21"/>
          <w:szCs w:val="21"/>
          <w:lang w:eastAsia="zh-CN"/>
        </w:rPr>
        <w:t>：</w:t>
      </w:r>
      <w:r>
        <w:rPr>
          <w:rFonts w:hint="eastAsia" w:asciiTheme="minorEastAsia" w:hAnsiTheme="minorEastAsia" w:eastAsiaTheme="minorEastAsia" w:cstheme="minorEastAsia"/>
          <w:b w:val="0"/>
          <w:sz w:val="21"/>
          <w:szCs w:val="21"/>
          <w:lang w:eastAsia="zh-CN"/>
        </w:rPr>
        <w:t>文旅集团2024年下半年集中处置资产</w:t>
      </w:r>
      <w:r>
        <w:rPr>
          <w:rFonts w:hint="eastAsia" w:asciiTheme="minorEastAsia" w:hAnsiTheme="minorEastAsia" w:cstheme="minorEastAsia"/>
          <w:b w:val="0"/>
          <w:sz w:val="21"/>
          <w:szCs w:val="21"/>
          <w:lang w:val="en-US" w:eastAsia="zh-CN"/>
        </w:rPr>
        <w:t>拟进行资产处置</w:t>
      </w:r>
      <w:r>
        <w:rPr>
          <w:rFonts w:hint="eastAsia" w:asciiTheme="minorEastAsia" w:hAnsiTheme="minorEastAsia" w:eastAsiaTheme="minorEastAsia" w:cstheme="minorEastAsia"/>
          <w:sz w:val="21"/>
          <w:szCs w:val="21"/>
        </w:rPr>
        <w:t>，</w:t>
      </w:r>
      <w:r>
        <w:rPr>
          <w:rFonts w:hint="eastAsia" w:asciiTheme="minorEastAsia" w:hAnsiTheme="minorEastAsia" w:eastAsiaTheme="minorEastAsia" w:cstheme="minorEastAsia"/>
          <w:sz w:val="21"/>
          <w:szCs w:val="21"/>
          <w:lang w:val="en-US" w:eastAsia="zh-CN"/>
        </w:rPr>
        <w:t>对该经济行为所涉及的资产于评估基准日的市场价值进行评估，</w:t>
      </w:r>
      <w:r>
        <w:rPr>
          <w:rFonts w:hint="eastAsia" w:asciiTheme="minorEastAsia" w:hAnsiTheme="minorEastAsia" w:eastAsiaTheme="minorEastAsia" w:cstheme="minorEastAsia"/>
          <w:sz w:val="21"/>
          <w:szCs w:val="21"/>
        </w:rPr>
        <w:t>本次评估为上述经济行为提供价值参考依据。</w:t>
      </w:r>
    </w:p>
    <w:p w14:paraId="0AC807CD">
      <w:pPr>
        <w:keepNext w:val="0"/>
        <w:keepLines w:val="0"/>
        <w:pageBreakBefore w:val="0"/>
        <w:kinsoku/>
        <w:wordWrap/>
        <w:overflowPunct/>
        <w:topLinePunct w:val="0"/>
        <w:autoSpaceDE/>
        <w:autoSpaceDN/>
        <w:bidi w:val="0"/>
        <w:snapToGrid w:val="0"/>
        <w:spacing w:line="520" w:lineRule="atLeast"/>
        <w:ind w:firstLine="422" w:firstLineChars="200"/>
        <w:jc w:val="both"/>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b/>
          <w:sz w:val="21"/>
          <w:szCs w:val="21"/>
        </w:rPr>
        <w:t>二、评估对象和评估范围：</w:t>
      </w:r>
      <w:r>
        <w:rPr>
          <w:rFonts w:hint="eastAsia" w:asciiTheme="minorEastAsia" w:hAnsiTheme="minorEastAsia" w:eastAsiaTheme="minorEastAsia" w:cstheme="minorEastAsia"/>
          <w:sz w:val="21"/>
          <w:szCs w:val="21"/>
          <w:lang w:val="en-US" w:eastAsia="zh-CN"/>
        </w:rPr>
        <w:t>评估对象为文旅集团2024年下半年集中处置资产评估；评估范围为合肥文旅博览集团有限公司拟处置的</w:t>
      </w:r>
      <w:r>
        <w:rPr>
          <w:rFonts w:hint="eastAsia" w:asciiTheme="minorEastAsia" w:hAnsiTheme="minorEastAsia" w:cstheme="minorEastAsia"/>
          <w:sz w:val="21"/>
          <w:szCs w:val="21"/>
          <w:lang w:val="en-US" w:eastAsia="zh-CN"/>
        </w:rPr>
        <w:t>资产，详见附件，具体以现场实际为准</w:t>
      </w:r>
      <w:r>
        <w:rPr>
          <w:rFonts w:hint="eastAsia" w:asciiTheme="minorEastAsia" w:hAnsiTheme="minorEastAsia" w:eastAsiaTheme="minorEastAsia" w:cstheme="minorEastAsia"/>
          <w:sz w:val="21"/>
          <w:szCs w:val="21"/>
          <w:lang w:val="en-US" w:eastAsia="zh-CN"/>
        </w:rPr>
        <w:t>。</w:t>
      </w:r>
    </w:p>
    <w:p w14:paraId="2B212AB6">
      <w:pPr>
        <w:keepNext w:val="0"/>
        <w:keepLines w:val="0"/>
        <w:pageBreakBefore w:val="0"/>
        <w:kinsoku/>
        <w:wordWrap/>
        <w:overflowPunct/>
        <w:topLinePunct w:val="0"/>
        <w:autoSpaceDE/>
        <w:autoSpaceDN/>
        <w:bidi w:val="0"/>
        <w:snapToGrid w:val="0"/>
        <w:spacing w:line="520" w:lineRule="atLeast"/>
        <w:ind w:firstLine="422" w:firstLineChars="200"/>
        <w:jc w:val="both"/>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b/>
          <w:sz w:val="21"/>
          <w:szCs w:val="21"/>
        </w:rPr>
        <w:t>三、评估基准日</w:t>
      </w:r>
      <w:r>
        <w:rPr>
          <w:rFonts w:hint="eastAsia" w:asciiTheme="minorEastAsia" w:hAnsiTheme="minorEastAsia" w:eastAsiaTheme="minorEastAsia" w:cstheme="minorEastAsia"/>
          <w:b/>
          <w:sz w:val="21"/>
          <w:szCs w:val="21"/>
          <w:lang w:eastAsia="zh-CN"/>
        </w:rPr>
        <w:t>：</w:t>
      </w:r>
      <w:r>
        <w:rPr>
          <w:rFonts w:hint="eastAsia" w:asciiTheme="minorEastAsia" w:hAnsiTheme="minorEastAsia" w:eastAsiaTheme="minorEastAsia" w:cstheme="minorEastAsia"/>
          <w:sz w:val="21"/>
          <w:szCs w:val="21"/>
        </w:rPr>
        <w:t xml:space="preserve"> </w:t>
      </w:r>
      <w:r>
        <w:rPr>
          <w:rFonts w:hint="eastAsia" w:asciiTheme="minorEastAsia" w:hAnsiTheme="minorEastAsia" w:eastAsiaTheme="minorEastAsia" w:cstheme="minorEastAsia"/>
          <w:sz w:val="21"/>
          <w:szCs w:val="21"/>
          <w:lang w:val="en-US" w:eastAsia="zh-CN"/>
        </w:rPr>
        <w:t>202</w:t>
      </w:r>
      <w:r>
        <w:rPr>
          <w:rFonts w:hint="eastAsia" w:asciiTheme="minorEastAsia" w:hAnsiTheme="minorEastAsia" w:cstheme="minorEastAsia"/>
          <w:sz w:val="21"/>
          <w:szCs w:val="21"/>
          <w:lang w:val="en-US" w:eastAsia="zh-CN"/>
        </w:rPr>
        <w:t>5</w:t>
      </w:r>
      <w:r>
        <w:rPr>
          <w:rFonts w:hint="eastAsia" w:asciiTheme="minorEastAsia" w:hAnsiTheme="minorEastAsia" w:eastAsiaTheme="minorEastAsia" w:cstheme="minorEastAsia"/>
          <w:sz w:val="21"/>
          <w:szCs w:val="21"/>
          <w:lang w:val="en-US" w:eastAsia="zh-CN"/>
        </w:rPr>
        <w:t>年   月   日</w:t>
      </w:r>
    </w:p>
    <w:p w14:paraId="56E9DEA8">
      <w:pPr>
        <w:keepNext w:val="0"/>
        <w:keepLines w:val="0"/>
        <w:pageBreakBefore w:val="0"/>
        <w:kinsoku/>
        <w:wordWrap/>
        <w:overflowPunct/>
        <w:topLinePunct w:val="0"/>
        <w:autoSpaceDE/>
        <w:autoSpaceDN/>
        <w:bidi w:val="0"/>
        <w:snapToGrid w:val="0"/>
        <w:spacing w:line="520" w:lineRule="atLeast"/>
        <w:ind w:firstLine="422" w:firstLineChars="200"/>
        <w:jc w:val="both"/>
        <w:textAlignment w:val="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四、资产评估报告</w:t>
      </w:r>
      <w:r>
        <w:rPr>
          <w:rFonts w:hint="eastAsia" w:asciiTheme="minorEastAsia" w:hAnsiTheme="minorEastAsia" w:eastAsiaTheme="minorEastAsia" w:cstheme="minorEastAsia"/>
          <w:b/>
          <w:sz w:val="21"/>
          <w:szCs w:val="21"/>
          <w:lang w:eastAsia="zh-CN"/>
        </w:rPr>
        <w:t>适</w:t>
      </w:r>
      <w:r>
        <w:rPr>
          <w:rFonts w:hint="eastAsia" w:asciiTheme="minorEastAsia" w:hAnsiTheme="minorEastAsia" w:eastAsiaTheme="minorEastAsia" w:cstheme="minorEastAsia"/>
          <w:b/>
          <w:sz w:val="21"/>
          <w:szCs w:val="21"/>
        </w:rPr>
        <w:t>用范围：</w:t>
      </w:r>
    </w:p>
    <w:p w14:paraId="1518AEB0">
      <w:pPr>
        <w:keepNext w:val="0"/>
        <w:keepLines w:val="0"/>
        <w:pageBreakBefore w:val="0"/>
        <w:kinsoku/>
        <w:wordWrap/>
        <w:overflowPunct/>
        <w:topLinePunct w:val="0"/>
        <w:autoSpaceDE/>
        <w:autoSpaceDN/>
        <w:bidi w:val="0"/>
        <w:snapToGrid w:val="0"/>
        <w:spacing w:line="520" w:lineRule="atLeast"/>
        <w:ind w:firstLine="420" w:firstLineChars="200"/>
        <w:jc w:val="both"/>
        <w:textAlignment w:val="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rPr>
        <w:t>1、资产评估报告仅供甲方和法律、行政法规规定的使用</w:t>
      </w:r>
      <w:r>
        <w:rPr>
          <w:rFonts w:hint="eastAsia" w:asciiTheme="minorEastAsia" w:hAnsiTheme="minorEastAsia" w:eastAsiaTheme="minorEastAsia" w:cstheme="minorEastAsia"/>
          <w:sz w:val="21"/>
          <w:szCs w:val="21"/>
          <w:highlight w:val="none"/>
        </w:rPr>
        <w:t>人使用，</w:t>
      </w:r>
      <w:r>
        <w:rPr>
          <w:rFonts w:hint="eastAsia" w:asciiTheme="minorEastAsia" w:hAnsiTheme="minorEastAsia" w:eastAsiaTheme="minorEastAsia" w:cstheme="minorEastAsia"/>
          <w:sz w:val="21"/>
          <w:szCs w:val="21"/>
          <w:highlight w:val="none"/>
          <w:lang w:val="en-US" w:eastAsia="zh-CN"/>
        </w:rPr>
        <w:t>甲方可以授权其他第三方单位使用本资产评估报告，除此之外，</w:t>
      </w:r>
      <w:r>
        <w:rPr>
          <w:rFonts w:hint="eastAsia" w:asciiTheme="minorEastAsia" w:hAnsiTheme="minorEastAsia" w:eastAsiaTheme="minorEastAsia" w:cstheme="minorEastAsia"/>
          <w:sz w:val="21"/>
          <w:szCs w:val="21"/>
          <w:highlight w:val="none"/>
        </w:rPr>
        <w:t>其他任何机构和个人不能成为资产评估报告使用人。</w:t>
      </w:r>
    </w:p>
    <w:p w14:paraId="6D5292BD">
      <w:pPr>
        <w:keepNext w:val="0"/>
        <w:keepLines w:val="0"/>
        <w:pageBreakBefore w:val="0"/>
        <w:kinsoku/>
        <w:wordWrap/>
        <w:overflowPunct/>
        <w:topLinePunct w:val="0"/>
        <w:autoSpaceDE/>
        <w:autoSpaceDN/>
        <w:bidi w:val="0"/>
        <w:snapToGrid w:val="0"/>
        <w:spacing w:line="520" w:lineRule="atLeast"/>
        <w:ind w:firstLine="420" w:firstLineChars="200"/>
        <w:jc w:val="both"/>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甲方及其他资产评估报告使用人应按照法律、行政法规的规定和资产评估报告载明的使用目的及用途使用资产评估报告。甲方或其他资产评估报告使用人违反前述约定使用资产评估报告的，乙方及其专业人员不承担责任。</w:t>
      </w:r>
    </w:p>
    <w:p w14:paraId="4AD6CB3E">
      <w:pPr>
        <w:keepNext w:val="0"/>
        <w:keepLines w:val="0"/>
        <w:pageBreakBefore w:val="0"/>
        <w:kinsoku/>
        <w:wordWrap/>
        <w:overflowPunct/>
        <w:topLinePunct w:val="0"/>
        <w:autoSpaceDE/>
        <w:autoSpaceDN/>
        <w:bidi w:val="0"/>
        <w:snapToGrid w:val="0"/>
        <w:spacing w:line="520" w:lineRule="atLeast"/>
        <w:ind w:firstLine="420" w:firstLineChars="200"/>
        <w:jc w:val="both"/>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3、甲方及其他资产评估报告使用人应当在资产评估报告载明的评估结论使用有效期内使用资产评估报告。</w:t>
      </w:r>
    </w:p>
    <w:p w14:paraId="5AD7E115">
      <w:pPr>
        <w:keepNext w:val="0"/>
        <w:keepLines w:val="0"/>
        <w:pageBreakBefore w:val="0"/>
        <w:kinsoku/>
        <w:wordWrap/>
        <w:overflowPunct/>
        <w:topLinePunct w:val="0"/>
        <w:autoSpaceDE/>
        <w:autoSpaceDN/>
        <w:bidi w:val="0"/>
        <w:snapToGrid w:val="0"/>
        <w:spacing w:line="520" w:lineRule="atLeast"/>
        <w:ind w:firstLine="420" w:firstLineChars="200"/>
        <w:jc w:val="both"/>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4、未经甲方书面许可，乙方及其专业人员不得将资产评估报告的内容向第三方提供或公开，法律、行政法规另有规定的除外。</w:t>
      </w:r>
    </w:p>
    <w:p w14:paraId="58E52CB7">
      <w:pPr>
        <w:keepNext w:val="0"/>
        <w:keepLines w:val="0"/>
        <w:pageBreakBefore w:val="0"/>
        <w:kinsoku/>
        <w:wordWrap/>
        <w:overflowPunct/>
        <w:topLinePunct w:val="0"/>
        <w:autoSpaceDE/>
        <w:autoSpaceDN/>
        <w:bidi w:val="0"/>
        <w:snapToGrid w:val="0"/>
        <w:spacing w:line="520" w:lineRule="atLeast"/>
        <w:ind w:firstLine="420" w:firstLineChars="200"/>
        <w:jc w:val="both"/>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5、未征得乙方同意，甲方及其他资产评估报告使用人不得将资产评估报告的内容摘抄、引用或者披露于公开媒体，法律、行政法规规定以及相关当事人另有约定的除外。</w:t>
      </w:r>
    </w:p>
    <w:p w14:paraId="3C747DAC">
      <w:pPr>
        <w:keepNext w:val="0"/>
        <w:keepLines w:val="0"/>
        <w:pageBreakBefore w:val="0"/>
        <w:kinsoku/>
        <w:wordWrap/>
        <w:overflowPunct/>
        <w:topLinePunct w:val="0"/>
        <w:autoSpaceDE/>
        <w:autoSpaceDN/>
        <w:bidi w:val="0"/>
        <w:snapToGrid w:val="0"/>
        <w:spacing w:line="520" w:lineRule="atLeast"/>
        <w:ind w:firstLine="422" w:firstLineChars="200"/>
        <w:jc w:val="both"/>
        <w:textAlignment w:val="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五、资产评估报告提交期限和方式</w:t>
      </w:r>
      <w:r>
        <w:rPr>
          <w:rFonts w:hint="eastAsia" w:asciiTheme="minorEastAsia" w:hAnsiTheme="minorEastAsia" w:eastAsiaTheme="minorEastAsia" w:cstheme="minorEastAsia"/>
          <w:b/>
          <w:sz w:val="21"/>
          <w:szCs w:val="21"/>
          <w:lang w:eastAsia="zh-CN"/>
        </w:rPr>
        <w:t>：</w:t>
      </w:r>
    </w:p>
    <w:p w14:paraId="5AF97E55">
      <w:pPr>
        <w:keepNext w:val="0"/>
        <w:keepLines w:val="0"/>
        <w:pageBreakBefore w:val="0"/>
        <w:widowControl/>
        <w:kinsoku/>
        <w:wordWrap/>
        <w:overflowPunct/>
        <w:topLinePunct w:val="0"/>
        <w:autoSpaceDE/>
        <w:autoSpaceDN/>
        <w:bidi w:val="0"/>
        <w:snapToGrid w:val="0"/>
        <w:spacing w:line="520" w:lineRule="atLeast"/>
        <w:ind w:firstLine="420" w:firstLineChars="200"/>
        <w:jc w:val="both"/>
        <w:textAlignment w:val="auto"/>
        <w:rPr>
          <w:rFonts w:hint="eastAsia" w:asciiTheme="minorEastAsia" w:hAnsiTheme="minorEastAsia" w:eastAsiaTheme="minorEastAsia" w:cstheme="minorEastAsia"/>
          <w:sz w:val="21"/>
          <w:szCs w:val="21"/>
          <w:highlight w:val="none"/>
          <w:lang w:val="en-US" w:eastAsia="zh-CN"/>
        </w:rPr>
      </w:pPr>
      <w:r>
        <w:rPr>
          <w:rFonts w:hint="eastAsia" w:asciiTheme="minorEastAsia" w:hAnsiTheme="minorEastAsia" w:eastAsiaTheme="minorEastAsia" w:cstheme="minorEastAsia"/>
          <w:sz w:val="21"/>
          <w:szCs w:val="21"/>
          <w:highlight w:val="none"/>
        </w:rPr>
        <w:t>1、提交期限：自甲方和其他相关当事人完全、如实地提供乙方评估所需所有资料后，</w:t>
      </w:r>
      <w:r>
        <w:rPr>
          <w:rFonts w:hint="eastAsia" w:asciiTheme="minorEastAsia" w:hAnsiTheme="minorEastAsia" w:eastAsiaTheme="minorEastAsia" w:cstheme="minorEastAsia"/>
          <w:sz w:val="21"/>
          <w:szCs w:val="21"/>
          <w:highlight w:val="none"/>
          <w:lang w:val="en-US" w:eastAsia="zh-CN"/>
        </w:rPr>
        <w:t>在约定时间内将评估报告书初稿报甲方审核，在获取甲方意见后72小时内出具正式评估报告；但自受托之日起，正式评估报告出具时间不得超过7个工作日。</w:t>
      </w:r>
    </w:p>
    <w:p w14:paraId="36C38044">
      <w:pPr>
        <w:keepNext w:val="0"/>
        <w:keepLines w:val="0"/>
        <w:pageBreakBefore w:val="0"/>
        <w:widowControl/>
        <w:kinsoku/>
        <w:wordWrap/>
        <w:overflowPunct/>
        <w:topLinePunct w:val="0"/>
        <w:autoSpaceDE/>
        <w:autoSpaceDN/>
        <w:bidi w:val="0"/>
        <w:snapToGrid w:val="0"/>
        <w:spacing w:line="520" w:lineRule="atLeast"/>
        <w:ind w:firstLine="420" w:firstLineChars="200"/>
        <w:jc w:val="both"/>
        <w:textAlignment w:val="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2、提交方式：资产评估报告的电子版及纸质版</w:t>
      </w:r>
      <w:r>
        <w:rPr>
          <w:rFonts w:hint="eastAsia" w:asciiTheme="minorEastAsia" w:hAnsiTheme="minorEastAsia" w:eastAsiaTheme="minorEastAsia" w:cstheme="minorEastAsia"/>
          <w:sz w:val="21"/>
          <w:szCs w:val="21"/>
          <w:highlight w:val="none"/>
          <w:lang w:val="en-US" w:eastAsia="zh-CN"/>
        </w:rPr>
        <w:t>一式</w:t>
      </w:r>
      <w:r>
        <w:rPr>
          <w:rFonts w:hint="eastAsia" w:asciiTheme="minorEastAsia" w:hAnsiTheme="minorEastAsia" w:cstheme="minorEastAsia"/>
          <w:sz w:val="21"/>
          <w:szCs w:val="21"/>
          <w:highlight w:val="none"/>
          <w:lang w:val="en-US" w:eastAsia="zh-CN"/>
        </w:rPr>
        <w:t>叁</w:t>
      </w:r>
      <w:r>
        <w:rPr>
          <w:rFonts w:hint="eastAsia" w:asciiTheme="minorEastAsia" w:hAnsiTheme="minorEastAsia" w:eastAsiaTheme="minorEastAsia" w:cstheme="minorEastAsia"/>
          <w:sz w:val="21"/>
          <w:szCs w:val="21"/>
          <w:highlight w:val="none"/>
          <w:lang w:val="en-US" w:eastAsia="zh-CN"/>
        </w:rPr>
        <w:t>份</w:t>
      </w:r>
      <w:r>
        <w:rPr>
          <w:rFonts w:hint="eastAsia" w:asciiTheme="minorEastAsia" w:hAnsiTheme="minorEastAsia" w:eastAsiaTheme="minorEastAsia" w:cstheme="minorEastAsia"/>
          <w:sz w:val="21"/>
          <w:szCs w:val="21"/>
          <w:highlight w:val="none"/>
        </w:rPr>
        <w:t>，邮寄或</w:t>
      </w:r>
      <w:r>
        <w:rPr>
          <w:rFonts w:hint="eastAsia" w:asciiTheme="minorEastAsia" w:hAnsiTheme="minorEastAsia" w:eastAsiaTheme="minorEastAsia" w:cstheme="minorEastAsia"/>
          <w:sz w:val="21"/>
          <w:szCs w:val="21"/>
          <w:highlight w:val="none"/>
          <w:lang w:val="en-US" w:eastAsia="zh-CN"/>
        </w:rPr>
        <w:t>直接</w:t>
      </w:r>
      <w:r>
        <w:rPr>
          <w:rFonts w:hint="eastAsia" w:asciiTheme="minorEastAsia" w:hAnsiTheme="minorEastAsia" w:eastAsiaTheme="minorEastAsia" w:cstheme="minorEastAsia"/>
          <w:sz w:val="21"/>
          <w:szCs w:val="21"/>
          <w:highlight w:val="none"/>
        </w:rPr>
        <w:t>送达给甲方。</w:t>
      </w:r>
    </w:p>
    <w:p w14:paraId="26FC1CF3">
      <w:pPr>
        <w:keepNext w:val="0"/>
        <w:keepLines w:val="0"/>
        <w:pageBreakBefore w:val="0"/>
        <w:widowControl/>
        <w:kinsoku/>
        <w:wordWrap/>
        <w:overflowPunct/>
        <w:topLinePunct w:val="0"/>
        <w:autoSpaceDE/>
        <w:autoSpaceDN/>
        <w:bidi w:val="0"/>
        <w:snapToGrid w:val="0"/>
        <w:spacing w:line="520" w:lineRule="atLeast"/>
        <w:ind w:firstLine="420" w:firstLineChars="200"/>
        <w:jc w:val="both"/>
        <w:textAlignment w:val="auto"/>
        <w:rPr>
          <w:rFonts w:hint="eastAsia" w:asciiTheme="minorEastAsia" w:hAnsiTheme="minorEastAsia" w:eastAsiaTheme="minorEastAsia" w:cstheme="minorEastAsia"/>
          <w:sz w:val="21"/>
          <w:szCs w:val="21"/>
          <w:highlight w:val="none"/>
          <w:lang w:val="en-US" w:eastAsia="zh-CN"/>
        </w:rPr>
      </w:pPr>
      <w:r>
        <w:rPr>
          <w:rFonts w:hint="eastAsia" w:asciiTheme="minorEastAsia" w:hAnsiTheme="minorEastAsia" w:eastAsiaTheme="minorEastAsia" w:cstheme="minorEastAsia"/>
          <w:sz w:val="21"/>
          <w:szCs w:val="21"/>
          <w:highlight w:val="none"/>
          <w:lang w:val="en-US" w:eastAsia="zh-CN"/>
        </w:rPr>
        <w:t>3、乙方应当对被评估对象进行全面清查，根据甲方提供的资产清单，核实资产账面与实际是否相符，并据此作出鉴定。</w:t>
      </w:r>
    </w:p>
    <w:p w14:paraId="543DE89A">
      <w:pPr>
        <w:keepNext w:val="0"/>
        <w:keepLines w:val="0"/>
        <w:pageBreakBefore w:val="0"/>
        <w:widowControl/>
        <w:kinsoku/>
        <w:wordWrap/>
        <w:overflowPunct/>
        <w:topLinePunct w:val="0"/>
        <w:autoSpaceDE/>
        <w:autoSpaceDN/>
        <w:bidi w:val="0"/>
        <w:snapToGrid w:val="0"/>
        <w:spacing w:line="520" w:lineRule="atLeast"/>
        <w:ind w:firstLine="420" w:firstLineChars="200"/>
        <w:jc w:val="both"/>
        <w:textAlignment w:val="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lang w:val="en-US" w:eastAsia="zh-CN"/>
        </w:rPr>
        <w:t>4、乙方应充分根据资产原值、净值、新旧程度、重置成本、获利能力等因素选用合适的资产评估方法；</w:t>
      </w:r>
      <w:r>
        <w:rPr>
          <w:rFonts w:hint="eastAsia" w:asciiTheme="minorEastAsia" w:hAnsiTheme="minorEastAsia" w:eastAsiaTheme="minorEastAsia" w:cstheme="minorEastAsia"/>
          <w:b w:val="0"/>
          <w:bCs w:val="0"/>
          <w:sz w:val="21"/>
          <w:szCs w:val="21"/>
          <w:highlight w:val="none"/>
          <w:lang w:val="en-US" w:eastAsia="zh-CN"/>
        </w:rPr>
        <w:t>并优先在持续使用的假设前提下，进行评估。</w:t>
      </w:r>
    </w:p>
    <w:p w14:paraId="7D154851">
      <w:pPr>
        <w:keepNext w:val="0"/>
        <w:keepLines w:val="0"/>
        <w:pageBreakBefore w:val="0"/>
        <w:kinsoku/>
        <w:wordWrap/>
        <w:overflowPunct/>
        <w:topLinePunct w:val="0"/>
        <w:autoSpaceDE/>
        <w:autoSpaceDN/>
        <w:bidi w:val="0"/>
        <w:snapToGrid w:val="0"/>
        <w:spacing w:line="520" w:lineRule="atLeast"/>
        <w:ind w:firstLine="422" w:firstLineChars="200"/>
        <w:jc w:val="both"/>
        <w:textAlignment w:val="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六、评估服务费</w:t>
      </w:r>
      <w:r>
        <w:rPr>
          <w:rFonts w:hint="eastAsia" w:asciiTheme="minorEastAsia" w:hAnsiTheme="minorEastAsia" w:eastAsiaTheme="minorEastAsia" w:cstheme="minorEastAsia"/>
          <w:b/>
          <w:sz w:val="21"/>
          <w:szCs w:val="21"/>
          <w:lang w:eastAsia="zh-CN"/>
        </w:rPr>
        <w:t>：</w:t>
      </w:r>
    </w:p>
    <w:p w14:paraId="6F110BAC">
      <w:pPr>
        <w:keepNext w:val="0"/>
        <w:keepLines w:val="0"/>
        <w:pageBreakBefore w:val="0"/>
        <w:kinsoku/>
        <w:wordWrap/>
        <w:overflowPunct/>
        <w:topLinePunct w:val="0"/>
        <w:autoSpaceDE/>
        <w:autoSpaceDN/>
        <w:bidi w:val="0"/>
        <w:snapToGrid w:val="0"/>
        <w:spacing w:line="520" w:lineRule="atLeast"/>
        <w:ind w:firstLine="420" w:firstLineChars="200"/>
        <w:jc w:val="both"/>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1、本合同评估服务费：评估服务费为   元（大写：   ）。</w:t>
      </w:r>
    </w:p>
    <w:p w14:paraId="14C58E2D">
      <w:pPr>
        <w:keepNext w:val="0"/>
        <w:keepLines w:val="0"/>
        <w:pageBreakBefore w:val="0"/>
        <w:kinsoku/>
        <w:wordWrap/>
        <w:overflowPunct/>
        <w:topLinePunct w:val="0"/>
        <w:autoSpaceDE/>
        <w:autoSpaceDN/>
        <w:bidi w:val="0"/>
        <w:snapToGrid w:val="0"/>
        <w:spacing w:line="520" w:lineRule="atLeast"/>
        <w:ind w:firstLine="420" w:firstLineChars="200"/>
        <w:jc w:val="both"/>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2、上述评估服务费包括本次评估全部内容及工期的成本、利润、税金、运输费、损耗等所有费用，除此之外，甲方无需就本合同项下服务向乙方或第三方支付任何其他费用。</w:t>
      </w:r>
    </w:p>
    <w:p w14:paraId="3654A105">
      <w:pPr>
        <w:keepNext w:val="0"/>
        <w:keepLines w:val="0"/>
        <w:pageBreakBefore w:val="0"/>
        <w:kinsoku/>
        <w:wordWrap/>
        <w:overflowPunct/>
        <w:topLinePunct w:val="0"/>
        <w:autoSpaceDE/>
        <w:autoSpaceDN/>
        <w:bidi w:val="0"/>
        <w:adjustRightInd w:val="0"/>
        <w:snapToGrid w:val="0"/>
        <w:spacing w:line="520" w:lineRule="exact"/>
        <w:ind w:firstLine="420" w:firstLineChars="200"/>
        <w:jc w:val="left"/>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3、付款方式：</w:t>
      </w:r>
      <w:r>
        <w:rPr>
          <w:rFonts w:hint="eastAsia"/>
          <w:lang w:val="en-US" w:eastAsia="zh-CN"/>
        </w:rPr>
        <w:t>乙方</w:t>
      </w:r>
      <w:r>
        <w:rPr>
          <w:rFonts w:hint="eastAsia"/>
        </w:rPr>
        <w:t>完成全部评估并出具符合</w:t>
      </w:r>
      <w:r>
        <w:rPr>
          <w:rFonts w:hint="eastAsia"/>
          <w:lang w:val="en-US" w:eastAsia="zh-CN"/>
        </w:rPr>
        <w:t>甲方</w:t>
      </w:r>
      <w:r>
        <w:rPr>
          <w:rFonts w:hint="eastAsia"/>
        </w:rPr>
        <w:t>要求的评估报告后30日内一次性支付评估费用。</w:t>
      </w:r>
      <w:r>
        <w:rPr>
          <w:rFonts w:hint="eastAsia" w:asciiTheme="minorEastAsia" w:hAnsiTheme="minorEastAsia" w:eastAsiaTheme="minorEastAsia" w:cstheme="minorEastAsia"/>
          <w:spacing w:val="6"/>
          <w:sz w:val="21"/>
          <w:szCs w:val="21"/>
          <w:lang w:val="en-US" w:eastAsia="zh-CN"/>
        </w:rPr>
        <w:t>在</w:t>
      </w:r>
      <w:r>
        <w:rPr>
          <w:rFonts w:hint="eastAsia" w:asciiTheme="minorEastAsia" w:hAnsiTheme="minorEastAsia" w:cstheme="minorEastAsia"/>
          <w:spacing w:val="6"/>
          <w:sz w:val="21"/>
          <w:szCs w:val="21"/>
          <w:lang w:val="en-US" w:eastAsia="zh-CN"/>
        </w:rPr>
        <w:t>甲方</w:t>
      </w:r>
      <w:r>
        <w:rPr>
          <w:rFonts w:hint="eastAsia" w:asciiTheme="minorEastAsia" w:hAnsiTheme="minorEastAsia" w:eastAsiaTheme="minorEastAsia" w:cstheme="minorEastAsia"/>
          <w:spacing w:val="6"/>
          <w:sz w:val="21"/>
          <w:szCs w:val="21"/>
          <w:lang w:val="en-US" w:eastAsia="zh-CN"/>
        </w:rPr>
        <w:t>付款前，</w:t>
      </w:r>
      <w:r>
        <w:rPr>
          <w:rFonts w:hint="eastAsia" w:asciiTheme="minorEastAsia" w:hAnsiTheme="minorEastAsia" w:cstheme="minorEastAsia"/>
          <w:spacing w:val="6"/>
          <w:sz w:val="21"/>
          <w:szCs w:val="21"/>
          <w:lang w:val="en-US" w:eastAsia="zh-CN"/>
        </w:rPr>
        <w:t>乙方</w:t>
      </w:r>
      <w:r>
        <w:rPr>
          <w:rFonts w:hint="eastAsia" w:asciiTheme="minorEastAsia" w:hAnsiTheme="minorEastAsia" w:eastAsiaTheme="minorEastAsia" w:cstheme="minorEastAsia"/>
          <w:spacing w:val="6"/>
          <w:sz w:val="21"/>
          <w:szCs w:val="21"/>
          <w:lang w:val="en-US" w:eastAsia="zh-CN"/>
        </w:rPr>
        <w:t>需向</w:t>
      </w:r>
      <w:r>
        <w:rPr>
          <w:rFonts w:hint="eastAsia" w:asciiTheme="minorEastAsia" w:hAnsiTheme="minorEastAsia" w:cstheme="minorEastAsia"/>
          <w:spacing w:val="6"/>
          <w:sz w:val="21"/>
          <w:szCs w:val="21"/>
          <w:lang w:val="en-US" w:eastAsia="zh-CN"/>
        </w:rPr>
        <w:t>甲方</w:t>
      </w:r>
      <w:r>
        <w:rPr>
          <w:rFonts w:hint="eastAsia" w:asciiTheme="minorEastAsia" w:hAnsiTheme="minorEastAsia" w:eastAsiaTheme="minorEastAsia" w:cstheme="minorEastAsia"/>
          <w:spacing w:val="6"/>
          <w:sz w:val="21"/>
          <w:szCs w:val="21"/>
          <w:lang w:val="en-US" w:eastAsia="zh-CN"/>
        </w:rPr>
        <w:t>交付等额的增值税专用发票，否则</w:t>
      </w:r>
      <w:r>
        <w:rPr>
          <w:rFonts w:hint="eastAsia" w:asciiTheme="minorEastAsia" w:hAnsiTheme="minorEastAsia" w:cstheme="minorEastAsia"/>
          <w:spacing w:val="6"/>
          <w:sz w:val="21"/>
          <w:szCs w:val="21"/>
          <w:lang w:val="en-US" w:eastAsia="zh-CN"/>
        </w:rPr>
        <w:t>甲方</w:t>
      </w:r>
      <w:r>
        <w:rPr>
          <w:rFonts w:hint="eastAsia" w:asciiTheme="minorEastAsia" w:hAnsiTheme="minorEastAsia" w:eastAsiaTheme="minorEastAsia" w:cstheme="minorEastAsia"/>
          <w:spacing w:val="6"/>
          <w:sz w:val="21"/>
          <w:szCs w:val="21"/>
          <w:lang w:val="en-US" w:eastAsia="zh-CN"/>
        </w:rPr>
        <w:t>有权拒绝或者延迟付款，且不承担违约责任。</w:t>
      </w:r>
    </w:p>
    <w:p w14:paraId="7D513026">
      <w:pPr>
        <w:keepNext w:val="0"/>
        <w:keepLines w:val="0"/>
        <w:pageBreakBefore w:val="0"/>
        <w:kinsoku/>
        <w:wordWrap/>
        <w:overflowPunct/>
        <w:topLinePunct w:val="0"/>
        <w:autoSpaceDE/>
        <w:autoSpaceDN/>
        <w:bidi w:val="0"/>
        <w:snapToGrid w:val="0"/>
        <w:spacing w:line="520" w:lineRule="atLeast"/>
        <w:ind w:firstLine="420" w:firstLineChars="200"/>
        <w:jc w:val="both"/>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4、若评估范围或评估基准日发生变化，双方应签订补充协议或重新签订资产评估委托合同，评估服务费另议。</w:t>
      </w:r>
    </w:p>
    <w:p w14:paraId="0DE430A0">
      <w:pPr>
        <w:keepNext w:val="0"/>
        <w:keepLines w:val="0"/>
        <w:pageBreakBefore w:val="0"/>
        <w:kinsoku/>
        <w:wordWrap/>
        <w:overflowPunct/>
        <w:topLinePunct w:val="0"/>
        <w:autoSpaceDE/>
        <w:autoSpaceDN/>
        <w:bidi w:val="0"/>
        <w:snapToGrid w:val="0"/>
        <w:spacing w:line="520" w:lineRule="atLeast"/>
        <w:ind w:firstLine="420" w:firstLineChars="200"/>
        <w:jc w:val="both"/>
        <w:textAlignment w:val="auto"/>
        <w:rPr>
          <w:rFonts w:hint="eastAsia" w:asciiTheme="minorEastAsia" w:hAnsiTheme="minorEastAsia" w:eastAsiaTheme="minorEastAsia" w:cstheme="minorEastAsia"/>
          <w:sz w:val="21"/>
          <w:szCs w:val="21"/>
        </w:rPr>
      </w:pPr>
      <w:r>
        <w:rPr>
          <w:rFonts w:hint="eastAsia" w:asciiTheme="minorEastAsia" w:hAnsiTheme="minorEastAsia" w:cstheme="minorEastAsia"/>
          <w:sz w:val="21"/>
          <w:szCs w:val="21"/>
          <w:lang w:val="en-US" w:eastAsia="zh-CN"/>
        </w:rPr>
        <w:t>5</w:t>
      </w:r>
      <w:r>
        <w:rPr>
          <w:rFonts w:hint="eastAsia" w:asciiTheme="minorEastAsia" w:hAnsiTheme="minorEastAsia" w:eastAsiaTheme="minorEastAsia" w:cstheme="minorEastAsia"/>
          <w:sz w:val="21"/>
          <w:szCs w:val="21"/>
        </w:rPr>
        <w:t>、甲方所支付的评估服务费中包含乙方利用自主开发的云数据库系统、评估工具软件、底稿系统软件和项目管理系统等高技术手段提供高效服务的费用。</w:t>
      </w:r>
    </w:p>
    <w:p w14:paraId="08044262">
      <w:pPr>
        <w:keepNext w:val="0"/>
        <w:keepLines w:val="0"/>
        <w:pageBreakBefore w:val="0"/>
        <w:kinsoku/>
        <w:wordWrap/>
        <w:overflowPunct/>
        <w:topLinePunct w:val="0"/>
        <w:autoSpaceDE/>
        <w:autoSpaceDN/>
        <w:bidi w:val="0"/>
        <w:snapToGrid w:val="0"/>
        <w:spacing w:line="520" w:lineRule="atLeast"/>
        <w:ind w:firstLine="420" w:firstLineChars="200"/>
        <w:jc w:val="both"/>
        <w:textAlignment w:val="auto"/>
        <w:rPr>
          <w:rFonts w:hint="eastAsia" w:asciiTheme="minorEastAsia" w:hAnsiTheme="minorEastAsia" w:eastAsiaTheme="minorEastAsia" w:cstheme="minorEastAsia"/>
          <w:sz w:val="21"/>
          <w:szCs w:val="21"/>
        </w:rPr>
      </w:pPr>
      <w:r>
        <w:rPr>
          <w:rFonts w:hint="eastAsia" w:asciiTheme="minorEastAsia" w:hAnsiTheme="minorEastAsia" w:cstheme="minorEastAsia"/>
          <w:sz w:val="21"/>
          <w:szCs w:val="21"/>
          <w:lang w:val="en-US" w:eastAsia="zh-CN"/>
        </w:rPr>
        <w:t>6</w:t>
      </w:r>
      <w:r>
        <w:rPr>
          <w:rFonts w:hint="eastAsia" w:asciiTheme="minorEastAsia" w:hAnsiTheme="minorEastAsia" w:eastAsiaTheme="minorEastAsia" w:cstheme="minorEastAsia"/>
          <w:sz w:val="21"/>
          <w:szCs w:val="21"/>
        </w:rPr>
        <w:t>、评估服务费的支付方式为转账汇款。</w:t>
      </w:r>
    </w:p>
    <w:p w14:paraId="565F072E">
      <w:pPr>
        <w:keepNext w:val="0"/>
        <w:keepLines w:val="0"/>
        <w:pageBreakBefore w:val="0"/>
        <w:kinsoku/>
        <w:wordWrap/>
        <w:overflowPunct/>
        <w:topLinePunct w:val="0"/>
        <w:autoSpaceDE/>
        <w:autoSpaceDN/>
        <w:bidi w:val="0"/>
        <w:snapToGrid w:val="0"/>
        <w:spacing w:line="520" w:lineRule="atLeast"/>
        <w:ind w:firstLine="420" w:firstLineChars="200"/>
        <w:jc w:val="both"/>
        <w:textAlignment w:val="auto"/>
        <w:rPr>
          <w:rFonts w:hint="eastAsia" w:asciiTheme="minorEastAsia" w:hAnsiTheme="minorEastAsia" w:eastAsiaTheme="minorEastAsia" w:cstheme="minorEastAsia"/>
          <w:sz w:val="21"/>
          <w:szCs w:val="21"/>
        </w:rPr>
      </w:pPr>
      <w:r>
        <w:rPr>
          <w:rFonts w:hint="eastAsia" w:asciiTheme="minorEastAsia" w:hAnsiTheme="minorEastAsia" w:cstheme="minorEastAsia"/>
          <w:sz w:val="21"/>
          <w:szCs w:val="21"/>
          <w:lang w:val="en-US" w:eastAsia="zh-CN"/>
        </w:rPr>
        <w:t>7</w:t>
      </w:r>
      <w:r>
        <w:rPr>
          <w:rFonts w:hint="eastAsia" w:asciiTheme="minorEastAsia" w:hAnsiTheme="minorEastAsia" w:eastAsiaTheme="minorEastAsia" w:cstheme="minorEastAsia"/>
          <w:sz w:val="21"/>
          <w:szCs w:val="21"/>
        </w:rPr>
        <w:t>、乙方可接受的支付币种为人民币。</w:t>
      </w:r>
    </w:p>
    <w:p w14:paraId="7A37D4BA">
      <w:pPr>
        <w:keepNext w:val="0"/>
        <w:keepLines w:val="0"/>
        <w:pageBreakBefore w:val="0"/>
        <w:kinsoku/>
        <w:wordWrap/>
        <w:overflowPunct/>
        <w:topLinePunct w:val="0"/>
        <w:autoSpaceDE/>
        <w:autoSpaceDN/>
        <w:bidi w:val="0"/>
        <w:snapToGrid w:val="0"/>
        <w:spacing w:line="520" w:lineRule="atLeast"/>
        <w:ind w:firstLine="420" w:firstLineChars="200"/>
        <w:jc w:val="both"/>
        <w:textAlignment w:val="auto"/>
        <w:rPr>
          <w:rFonts w:hint="eastAsia" w:asciiTheme="minorEastAsia" w:hAnsiTheme="minorEastAsia" w:eastAsiaTheme="minorEastAsia" w:cstheme="minorEastAsia"/>
          <w:sz w:val="21"/>
          <w:szCs w:val="21"/>
        </w:rPr>
      </w:pPr>
      <w:r>
        <w:rPr>
          <w:rFonts w:hint="eastAsia" w:asciiTheme="minorEastAsia" w:hAnsiTheme="minorEastAsia" w:cstheme="minorEastAsia"/>
          <w:sz w:val="21"/>
          <w:szCs w:val="21"/>
          <w:lang w:val="en-US" w:eastAsia="zh-CN"/>
        </w:rPr>
        <w:t>8</w:t>
      </w:r>
      <w:r>
        <w:rPr>
          <w:rFonts w:hint="eastAsia" w:asciiTheme="minorEastAsia" w:hAnsiTheme="minorEastAsia" w:eastAsiaTheme="minorEastAsia" w:cstheme="minorEastAsia"/>
          <w:sz w:val="21"/>
          <w:szCs w:val="21"/>
        </w:rPr>
        <w:t>、乙方收款账户信息</w:t>
      </w:r>
      <w:r>
        <w:rPr>
          <w:rFonts w:hint="eastAsia" w:asciiTheme="minorEastAsia" w:hAnsiTheme="minorEastAsia" w:eastAsiaTheme="minorEastAsia" w:cstheme="minorEastAsia"/>
          <w:sz w:val="21"/>
          <w:szCs w:val="21"/>
          <w:lang w:val="en-US" w:eastAsia="zh-CN"/>
        </w:rPr>
        <w:t>如下</w:t>
      </w:r>
      <w:r>
        <w:rPr>
          <w:rFonts w:hint="eastAsia" w:asciiTheme="minorEastAsia" w:hAnsiTheme="minorEastAsia" w:eastAsiaTheme="minorEastAsia" w:cstheme="minorEastAsia"/>
          <w:sz w:val="21"/>
          <w:szCs w:val="21"/>
        </w:rPr>
        <w:t>：</w:t>
      </w:r>
    </w:p>
    <w:p w14:paraId="64FA06B9">
      <w:pPr>
        <w:keepNext w:val="0"/>
        <w:keepLines w:val="0"/>
        <w:pageBreakBefore w:val="0"/>
        <w:kinsoku/>
        <w:wordWrap/>
        <w:overflowPunct/>
        <w:topLinePunct w:val="0"/>
        <w:autoSpaceDE/>
        <w:autoSpaceDN/>
        <w:bidi w:val="0"/>
        <w:snapToGrid w:val="0"/>
        <w:spacing w:line="520" w:lineRule="atLeast"/>
        <w:ind w:firstLine="422" w:firstLineChars="200"/>
        <w:jc w:val="both"/>
        <w:textAlignment w:val="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开户行：</w:t>
      </w:r>
    </w:p>
    <w:p w14:paraId="502B3DD9">
      <w:pPr>
        <w:keepNext w:val="0"/>
        <w:keepLines w:val="0"/>
        <w:pageBreakBefore w:val="0"/>
        <w:kinsoku/>
        <w:wordWrap/>
        <w:overflowPunct/>
        <w:topLinePunct w:val="0"/>
        <w:autoSpaceDE/>
        <w:autoSpaceDN/>
        <w:bidi w:val="0"/>
        <w:snapToGrid w:val="0"/>
        <w:spacing w:line="520" w:lineRule="atLeast"/>
        <w:ind w:firstLine="422" w:firstLineChars="200"/>
        <w:jc w:val="both"/>
        <w:textAlignment w:val="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账户名称：</w:t>
      </w:r>
    </w:p>
    <w:p w14:paraId="724BD7A7">
      <w:pPr>
        <w:keepNext w:val="0"/>
        <w:keepLines w:val="0"/>
        <w:pageBreakBefore w:val="0"/>
        <w:kinsoku/>
        <w:wordWrap/>
        <w:overflowPunct/>
        <w:topLinePunct w:val="0"/>
        <w:autoSpaceDE/>
        <w:autoSpaceDN/>
        <w:bidi w:val="0"/>
        <w:snapToGrid w:val="0"/>
        <w:spacing w:line="520" w:lineRule="atLeast"/>
        <w:ind w:firstLine="422" w:firstLineChars="200"/>
        <w:jc w:val="both"/>
        <w:textAlignment w:val="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账号：</w:t>
      </w:r>
    </w:p>
    <w:p w14:paraId="4DFC6298">
      <w:pPr>
        <w:keepNext w:val="0"/>
        <w:keepLines w:val="0"/>
        <w:pageBreakBefore w:val="0"/>
        <w:kinsoku/>
        <w:wordWrap/>
        <w:overflowPunct/>
        <w:topLinePunct w:val="0"/>
        <w:autoSpaceDE/>
        <w:autoSpaceDN/>
        <w:bidi w:val="0"/>
        <w:snapToGrid w:val="0"/>
        <w:spacing w:line="520" w:lineRule="atLeast"/>
        <w:ind w:firstLine="422" w:firstLineChars="200"/>
        <w:jc w:val="both"/>
        <w:textAlignment w:val="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乙方保证提供的账户信息准确无误，乙方账户信息如有变更，应在合同规定的付款时间基础上至少提前7日以书面方式通知甲方。如乙方未按时通知或通知有误而导致甲方延期付款或无法转账的，甲方不承担任何责任。</w:t>
      </w:r>
    </w:p>
    <w:p w14:paraId="0ECECD3B">
      <w:pPr>
        <w:keepNext w:val="0"/>
        <w:keepLines w:val="0"/>
        <w:pageBreakBefore w:val="0"/>
        <w:kinsoku/>
        <w:wordWrap/>
        <w:overflowPunct/>
        <w:topLinePunct w:val="0"/>
        <w:autoSpaceDE/>
        <w:autoSpaceDN/>
        <w:bidi w:val="0"/>
        <w:snapToGrid w:val="0"/>
        <w:spacing w:line="520" w:lineRule="atLeast"/>
        <w:ind w:firstLine="422" w:firstLineChars="200"/>
        <w:jc w:val="both"/>
        <w:textAlignment w:val="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七、关于发票的特别约定：</w:t>
      </w:r>
    </w:p>
    <w:p w14:paraId="45A006EB">
      <w:pPr>
        <w:pStyle w:val="7"/>
        <w:keepNext w:val="0"/>
        <w:keepLines w:val="0"/>
        <w:pageBreakBefore w:val="0"/>
        <w:kinsoku/>
        <w:wordWrap/>
        <w:overflowPunct/>
        <w:topLinePunct w:val="0"/>
        <w:autoSpaceDE/>
        <w:autoSpaceDN/>
        <w:bidi w:val="0"/>
        <w:snapToGrid w:val="0"/>
        <w:spacing w:line="520" w:lineRule="atLeast"/>
        <w:ind w:firstLineChars="200"/>
        <w:jc w:val="both"/>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1</w:t>
      </w:r>
      <w:r>
        <w:rPr>
          <w:rFonts w:hint="eastAsia" w:asciiTheme="minorEastAsia" w:hAnsiTheme="minorEastAsia" w:eastAsiaTheme="minorEastAsia" w:cstheme="minorEastAsia"/>
          <w:sz w:val="21"/>
          <w:szCs w:val="21"/>
        </w:rPr>
        <w:t>、发票上的购买方应与评估服务费支付方一致，若评估服务费支付方、支付金额等发生变化的，应签订补充协议另行约定，并及时更换发票</w:t>
      </w:r>
      <w:r>
        <w:rPr>
          <w:rFonts w:hint="eastAsia"/>
          <w:lang w:val="en-US" w:eastAsia="zh-CN"/>
        </w:rPr>
        <w:t>，否则甲方有权拒绝付款且不承担违约责任</w:t>
      </w:r>
      <w:r>
        <w:rPr>
          <w:rFonts w:hint="eastAsia" w:asciiTheme="minorEastAsia" w:hAnsiTheme="minorEastAsia" w:eastAsiaTheme="minorEastAsia" w:cstheme="minorEastAsia"/>
          <w:sz w:val="21"/>
          <w:szCs w:val="21"/>
        </w:rPr>
        <w:t>。</w:t>
      </w:r>
    </w:p>
    <w:p w14:paraId="725D7B3A">
      <w:pPr>
        <w:keepNext w:val="0"/>
        <w:keepLines w:val="0"/>
        <w:pageBreakBefore w:val="0"/>
        <w:kinsoku/>
        <w:wordWrap/>
        <w:overflowPunct/>
        <w:topLinePunct w:val="0"/>
        <w:autoSpaceDE/>
        <w:autoSpaceDN/>
        <w:bidi w:val="0"/>
        <w:snapToGrid w:val="0"/>
        <w:spacing w:line="520" w:lineRule="atLeast"/>
        <w:ind w:firstLine="422" w:firstLineChars="200"/>
        <w:jc w:val="both"/>
        <w:textAlignment w:val="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八、双方权利和义务</w:t>
      </w:r>
      <w:r>
        <w:rPr>
          <w:rFonts w:hint="eastAsia" w:asciiTheme="minorEastAsia" w:hAnsiTheme="minorEastAsia" w:eastAsiaTheme="minorEastAsia" w:cstheme="minorEastAsia"/>
          <w:b/>
          <w:sz w:val="21"/>
          <w:szCs w:val="21"/>
          <w:lang w:eastAsia="zh-CN"/>
        </w:rPr>
        <w:t>：</w:t>
      </w:r>
    </w:p>
    <w:p w14:paraId="035255E2">
      <w:pPr>
        <w:keepNext w:val="0"/>
        <w:keepLines w:val="0"/>
        <w:pageBreakBefore w:val="0"/>
        <w:kinsoku/>
        <w:wordWrap/>
        <w:overflowPunct/>
        <w:topLinePunct w:val="0"/>
        <w:autoSpaceDE/>
        <w:autoSpaceDN/>
        <w:bidi w:val="0"/>
        <w:snapToGrid w:val="0"/>
        <w:spacing w:line="520" w:lineRule="atLeast"/>
        <w:ind w:firstLine="420" w:firstLineChars="200"/>
        <w:jc w:val="both"/>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甲方和其他相关当事人须向乙方提供资产评估业务需要的资料并保证所提供资料的真实性、完整性、合法性；甲方和其他相关当事人应当对其提供的资产评估明细表及其他重要资料的真实性、完整性、合法性以签</w:t>
      </w:r>
      <w:r>
        <w:rPr>
          <w:rFonts w:hint="eastAsia" w:asciiTheme="minorEastAsia" w:hAnsiTheme="minorEastAsia" w:cstheme="minorEastAsia"/>
          <w:sz w:val="21"/>
          <w:szCs w:val="21"/>
          <w:lang w:val="en-US" w:eastAsia="zh-CN"/>
        </w:rPr>
        <w:t>名</w:t>
      </w:r>
      <w:r>
        <w:rPr>
          <w:rFonts w:hint="eastAsia" w:asciiTheme="minorEastAsia" w:hAnsiTheme="minorEastAsia" w:eastAsiaTheme="minorEastAsia" w:cstheme="minorEastAsia"/>
          <w:sz w:val="21"/>
          <w:szCs w:val="21"/>
        </w:rPr>
        <w:t>、盖章或者法律允许的其他方式进行确认。</w:t>
      </w:r>
    </w:p>
    <w:p w14:paraId="03BB33C5">
      <w:pPr>
        <w:keepNext w:val="0"/>
        <w:keepLines w:val="0"/>
        <w:pageBreakBefore w:val="0"/>
        <w:kinsoku/>
        <w:wordWrap/>
        <w:overflowPunct/>
        <w:topLinePunct w:val="0"/>
        <w:autoSpaceDE/>
        <w:autoSpaceDN/>
        <w:bidi w:val="0"/>
        <w:snapToGrid w:val="0"/>
        <w:spacing w:line="520" w:lineRule="atLeast"/>
        <w:ind w:firstLine="420" w:firstLineChars="200"/>
        <w:jc w:val="both"/>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2、甲方应当为乙方及其专业人员执行评估业务提供必要的工作条件和协助；甲方应当根据评估业务需要，负责乙方及其专业人员与相关当事人之间的协调。 </w:t>
      </w:r>
    </w:p>
    <w:p w14:paraId="49506CAF">
      <w:pPr>
        <w:keepNext w:val="0"/>
        <w:keepLines w:val="0"/>
        <w:pageBreakBefore w:val="0"/>
        <w:kinsoku/>
        <w:wordWrap/>
        <w:overflowPunct/>
        <w:topLinePunct w:val="0"/>
        <w:autoSpaceDE/>
        <w:autoSpaceDN/>
        <w:bidi w:val="0"/>
        <w:snapToGrid w:val="0"/>
        <w:spacing w:line="520" w:lineRule="atLeast"/>
        <w:ind w:firstLine="420" w:firstLineChars="200"/>
        <w:jc w:val="both"/>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3、甲方应当按照本合同第四条的约定恰当使用资产评估报告。</w:t>
      </w:r>
    </w:p>
    <w:p w14:paraId="448EDD30">
      <w:pPr>
        <w:keepNext w:val="0"/>
        <w:keepLines w:val="0"/>
        <w:pageBreakBefore w:val="0"/>
        <w:kinsoku/>
        <w:wordWrap/>
        <w:overflowPunct/>
        <w:topLinePunct w:val="0"/>
        <w:autoSpaceDE/>
        <w:autoSpaceDN/>
        <w:bidi w:val="0"/>
        <w:snapToGrid w:val="0"/>
        <w:spacing w:line="520" w:lineRule="atLeast"/>
        <w:ind w:firstLine="420" w:firstLineChars="200"/>
        <w:jc w:val="both"/>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4、乙方有责任按照本合同的约定按时按质完成资产评估工作。</w:t>
      </w:r>
    </w:p>
    <w:p w14:paraId="254DDE35">
      <w:pPr>
        <w:keepNext w:val="0"/>
        <w:keepLines w:val="0"/>
        <w:pageBreakBefore w:val="0"/>
        <w:kinsoku/>
        <w:wordWrap/>
        <w:overflowPunct/>
        <w:topLinePunct w:val="0"/>
        <w:autoSpaceDE/>
        <w:autoSpaceDN/>
        <w:bidi w:val="0"/>
        <w:snapToGrid w:val="0"/>
        <w:spacing w:line="520" w:lineRule="atLeast"/>
        <w:ind w:firstLine="420" w:firstLineChars="200"/>
        <w:jc w:val="both"/>
        <w:textAlignment w:val="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rPr>
        <w:t>5、乙方及其专业人员应</w:t>
      </w:r>
      <w:r>
        <w:rPr>
          <w:rFonts w:hint="eastAsia" w:asciiTheme="minorEastAsia" w:hAnsiTheme="minorEastAsia" w:eastAsiaTheme="minorEastAsia" w:cstheme="minorEastAsia"/>
          <w:sz w:val="21"/>
          <w:szCs w:val="21"/>
          <w:highlight w:val="none"/>
        </w:rPr>
        <w:t>当遵守相关法律、行政法规和资产评估准则，对评估对象在评估基准日特定目的下的价值进行分析和估算并出具资产评估报告。</w:t>
      </w:r>
    </w:p>
    <w:p w14:paraId="25383A40">
      <w:pPr>
        <w:keepNext w:val="0"/>
        <w:keepLines w:val="0"/>
        <w:pageBreakBefore w:val="0"/>
        <w:kinsoku/>
        <w:wordWrap/>
        <w:overflowPunct/>
        <w:topLinePunct w:val="0"/>
        <w:autoSpaceDE/>
        <w:autoSpaceDN/>
        <w:bidi w:val="0"/>
        <w:snapToGrid w:val="0"/>
        <w:spacing w:line="520" w:lineRule="atLeast"/>
        <w:ind w:firstLine="420" w:firstLineChars="200"/>
        <w:jc w:val="both"/>
        <w:textAlignment w:val="auto"/>
        <w:rPr>
          <w:rFonts w:hint="eastAsia" w:asciiTheme="minorEastAsia" w:hAnsiTheme="minorEastAsia" w:eastAsiaTheme="minorEastAsia" w:cstheme="minorEastAsia"/>
          <w:sz w:val="21"/>
          <w:szCs w:val="21"/>
          <w:highlight w:val="none"/>
          <w:lang w:val="en-US" w:eastAsia="zh-CN"/>
        </w:rPr>
      </w:pPr>
      <w:r>
        <w:rPr>
          <w:rFonts w:hint="eastAsia" w:asciiTheme="minorEastAsia" w:hAnsiTheme="minorEastAsia" w:eastAsiaTheme="minorEastAsia" w:cstheme="minorEastAsia"/>
          <w:sz w:val="21"/>
          <w:szCs w:val="21"/>
          <w:highlight w:val="none"/>
          <w:lang w:val="en-US" w:eastAsia="zh-CN"/>
        </w:rPr>
        <w:t>6、乙方应当按照《国有资产评估管理办法》（国务院令第91号）等开展评估工作，并出具符合《企业国有资产评估报告指南》（中评协[2017]42号）的规定的资产评估报告。</w:t>
      </w:r>
    </w:p>
    <w:p w14:paraId="05BDC443">
      <w:pPr>
        <w:pStyle w:val="56"/>
        <w:keepNext w:val="0"/>
        <w:keepLines w:val="0"/>
        <w:pageBreakBefore w:val="0"/>
        <w:kinsoku/>
        <w:wordWrap/>
        <w:overflowPunct/>
        <w:topLinePunct w:val="0"/>
        <w:autoSpaceDE/>
        <w:autoSpaceDN/>
        <w:bidi w:val="0"/>
        <w:spacing w:line="520" w:lineRule="atLeast"/>
        <w:ind w:firstLine="420" w:firstLineChars="200"/>
        <w:textAlignment w:val="auto"/>
        <w:rPr>
          <w:rFonts w:hint="eastAsia" w:asciiTheme="minorEastAsia" w:hAnsiTheme="minorEastAsia" w:eastAsiaTheme="minorEastAsia" w:cstheme="minorEastAsia"/>
          <w:sz w:val="21"/>
          <w:szCs w:val="21"/>
          <w:highlight w:val="none"/>
          <w:lang w:val="en-US" w:eastAsia="zh-CN"/>
        </w:rPr>
      </w:pPr>
      <w:r>
        <w:rPr>
          <w:rFonts w:hint="eastAsia" w:asciiTheme="minorEastAsia" w:hAnsiTheme="minorEastAsia" w:eastAsiaTheme="minorEastAsia" w:cstheme="minorEastAsia"/>
          <w:sz w:val="21"/>
          <w:szCs w:val="21"/>
          <w:highlight w:val="none"/>
          <w:lang w:val="en-US" w:eastAsia="zh-CN"/>
        </w:rPr>
        <w:t>7.乙方对甲方及相关当事人内部资料、商业秘密、估值结果及约定的保密事项有保守秘密的义务。</w:t>
      </w:r>
    </w:p>
    <w:p w14:paraId="7C407D9B">
      <w:pPr>
        <w:pStyle w:val="56"/>
        <w:keepNext w:val="0"/>
        <w:keepLines w:val="0"/>
        <w:pageBreakBefore w:val="0"/>
        <w:kinsoku/>
        <w:wordWrap/>
        <w:overflowPunct/>
        <w:topLinePunct w:val="0"/>
        <w:autoSpaceDE/>
        <w:autoSpaceDN/>
        <w:bidi w:val="0"/>
        <w:spacing w:line="520" w:lineRule="atLeast"/>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kern w:val="2"/>
          <w:sz w:val="21"/>
          <w:szCs w:val="21"/>
          <w:highlight w:val="none"/>
          <w:lang w:val="en-US" w:eastAsia="zh-CN"/>
        </w:rPr>
        <w:t>8.</w:t>
      </w:r>
      <w:r>
        <w:rPr>
          <w:rFonts w:hint="eastAsia" w:asciiTheme="minorEastAsia" w:hAnsiTheme="minorEastAsia" w:eastAsiaTheme="minorEastAsia" w:cstheme="minorEastAsia"/>
          <w:kern w:val="2"/>
          <w:sz w:val="21"/>
          <w:szCs w:val="21"/>
          <w:highlight w:val="none"/>
          <w:lang w:val="en-US"/>
        </w:rPr>
        <w:t>当甲方认定乙方委派的评估专业人员不足以妥善履行评估职责时，乙方应及时更换评估人员。</w:t>
      </w:r>
    </w:p>
    <w:p w14:paraId="119424E3">
      <w:pPr>
        <w:keepNext w:val="0"/>
        <w:keepLines w:val="0"/>
        <w:pageBreakBefore w:val="0"/>
        <w:kinsoku/>
        <w:wordWrap/>
        <w:overflowPunct/>
        <w:topLinePunct w:val="0"/>
        <w:autoSpaceDE/>
        <w:autoSpaceDN/>
        <w:bidi w:val="0"/>
        <w:snapToGrid w:val="0"/>
        <w:spacing w:line="520" w:lineRule="atLeast"/>
        <w:ind w:firstLine="420" w:firstLineChars="200"/>
        <w:jc w:val="both"/>
        <w:textAlignment w:val="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双方如不履行上述义务，视为违约。</w:t>
      </w:r>
    </w:p>
    <w:p w14:paraId="355F996E">
      <w:pPr>
        <w:keepNext w:val="0"/>
        <w:keepLines w:val="0"/>
        <w:pageBreakBefore w:val="0"/>
        <w:kinsoku/>
        <w:wordWrap/>
        <w:overflowPunct/>
        <w:topLinePunct w:val="0"/>
        <w:autoSpaceDE/>
        <w:autoSpaceDN/>
        <w:bidi w:val="0"/>
        <w:snapToGrid w:val="0"/>
        <w:spacing w:line="520" w:lineRule="atLeast"/>
        <w:ind w:firstLine="422" w:firstLineChars="200"/>
        <w:jc w:val="both"/>
        <w:textAlignment w:val="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九、双方违约责任</w:t>
      </w:r>
      <w:r>
        <w:rPr>
          <w:rFonts w:hint="eastAsia" w:asciiTheme="minorEastAsia" w:hAnsiTheme="minorEastAsia" w:eastAsiaTheme="minorEastAsia" w:cstheme="minorEastAsia"/>
          <w:b/>
          <w:sz w:val="21"/>
          <w:szCs w:val="21"/>
          <w:lang w:eastAsia="zh-CN"/>
        </w:rPr>
        <w:t>：</w:t>
      </w:r>
    </w:p>
    <w:p w14:paraId="367005C0">
      <w:pPr>
        <w:keepNext w:val="0"/>
        <w:keepLines w:val="0"/>
        <w:pageBreakBefore w:val="0"/>
        <w:kinsoku/>
        <w:wordWrap/>
        <w:overflowPunct/>
        <w:topLinePunct w:val="0"/>
        <w:autoSpaceDE/>
        <w:autoSpaceDN/>
        <w:bidi w:val="0"/>
        <w:snapToGrid w:val="0"/>
        <w:spacing w:line="520" w:lineRule="atLeast"/>
        <w:ind w:firstLine="420" w:firstLineChars="200"/>
        <w:jc w:val="both"/>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1、甲方</w:t>
      </w:r>
      <w:r>
        <w:rPr>
          <w:rFonts w:hint="eastAsia" w:asciiTheme="minorEastAsia" w:hAnsiTheme="minorEastAsia" w:cstheme="minorEastAsia"/>
          <w:sz w:val="21"/>
          <w:szCs w:val="21"/>
          <w:lang w:val="en-US" w:eastAsia="zh-CN"/>
        </w:rPr>
        <w:t>若无正当理由</w:t>
      </w:r>
      <w:r>
        <w:rPr>
          <w:rFonts w:hint="eastAsia" w:asciiTheme="minorEastAsia" w:hAnsiTheme="minorEastAsia" w:eastAsiaTheme="minorEastAsia" w:cstheme="minorEastAsia"/>
          <w:sz w:val="21"/>
          <w:szCs w:val="21"/>
        </w:rPr>
        <w:t>拒绝向乙方支付评估服务费，乙方有权</w:t>
      </w:r>
      <w:r>
        <w:rPr>
          <w:rFonts w:hint="eastAsia" w:asciiTheme="minorEastAsia" w:hAnsiTheme="minorEastAsia" w:cstheme="minorEastAsia"/>
          <w:sz w:val="21"/>
          <w:szCs w:val="21"/>
          <w:lang w:val="en-US" w:eastAsia="zh-CN"/>
        </w:rPr>
        <w:t>向甲方催要评估服务费，若甲方迟延或拒绝付款超过本合同约定的付款期限30日，乙方有权</w:t>
      </w:r>
      <w:r>
        <w:rPr>
          <w:rFonts w:hint="eastAsia" w:asciiTheme="minorEastAsia" w:hAnsiTheme="minorEastAsia" w:eastAsiaTheme="minorEastAsia" w:cstheme="minorEastAsia"/>
          <w:sz w:val="21"/>
          <w:szCs w:val="21"/>
        </w:rPr>
        <w:t>停止工作</w:t>
      </w:r>
    </w:p>
    <w:p w14:paraId="6E17FF3B">
      <w:pPr>
        <w:keepNext w:val="0"/>
        <w:keepLines w:val="0"/>
        <w:pageBreakBefore w:val="0"/>
        <w:kinsoku/>
        <w:wordWrap/>
        <w:overflowPunct/>
        <w:topLinePunct w:val="0"/>
        <w:autoSpaceDE/>
        <w:autoSpaceDN/>
        <w:bidi w:val="0"/>
        <w:snapToGrid w:val="0"/>
        <w:spacing w:line="520" w:lineRule="atLeast"/>
        <w:ind w:firstLine="420" w:firstLineChars="200"/>
        <w:jc w:val="both"/>
        <w:textAlignment w:val="auto"/>
        <w:rPr>
          <w:rFonts w:hint="eastAsia" w:asciiTheme="minorEastAsia" w:hAnsiTheme="minorEastAsia" w:eastAsiaTheme="minorEastAsia" w:cstheme="minorEastAsia"/>
          <w:sz w:val="21"/>
          <w:szCs w:val="21"/>
        </w:rPr>
      </w:pPr>
      <w:r>
        <w:rPr>
          <w:rFonts w:hint="eastAsia" w:asciiTheme="minorEastAsia" w:hAnsiTheme="minorEastAsia" w:cstheme="minorEastAsia"/>
          <w:sz w:val="21"/>
          <w:szCs w:val="21"/>
          <w:lang w:val="en-US" w:eastAsia="zh-CN"/>
        </w:rPr>
        <w:t>2</w:t>
      </w:r>
      <w:r>
        <w:rPr>
          <w:rFonts w:hint="eastAsia" w:asciiTheme="minorEastAsia" w:hAnsiTheme="minorEastAsia" w:eastAsiaTheme="minorEastAsia" w:cstheme="minorEastAsia"/>
          <w:sz w:val="21"/>
          <w:szCs w:val="21"/>
        </w:rPr>
        <w:t>、乙方未同甲方协商擅自变更或解除本合同，应全额返回甲方已支付的评估服务费用，</w:t>
      </w:r>
      <w:r>
        <w:rPr>
          <w:rFonts w:hint="eastAsia" w:asciiTheme="minorEastAsia" w:hAnsiTheme="minorEastAsia" w:cstheme="minorEastAsia"/>
          <w:sz w:val="21"/>
          <w:szCs w:val="21"/>
          <w:lang w:val="en-US" w:eastAsia="zh-CN"/>
        </w:rPr>
        <w:t>并且乙方须承担甲方因此产生的一切损失。</w:t>
      </w:r>
      <w:r>
        <w:rPr>
          <w:rFonts w:hint="eastAsia" w:asciiTheme="minorEastAsia" w:hAnsiTheme="minorEastAsia" w:eastAsiaTheme="minorEastAsia" w:cstheme="minorEastAsia"/>
          <w:sz w:val="21"/>
          <w:szCs w:val="21"/>
        </w:rPr>
        <w:t>但本合同第十条第2款和第3款所列情形除外。</w:t>
      </w:r>
    </w:p>
    <w:p w14:paraId="42F52CB0">
      <w:pPr>
        <w:keepNext w:val="0"/>
        <w:keepLines w:val="0"/>
        <w:pageBreakBefore w:val="0"/>
        <w:kinsoku/>
        <w:wordWrap/>
        <w:overflowPunct/>
        <w:topLinePunct w:val="0"/>
        <w:autoSpaceDE/>
        <w:autoSpaceDN/>
        <w:bidi w:val="0"/>
        <w:snapToGrid w:val="0"/>
        <w:spacing w:line="520" w:lineRule="atLeast"/>
        <w:ind w:firstLine="420" w:firstLineChars="200"/>
        <w:jc w:val="both"/>
        <w:textAlignment w:val="auto"/>
        <w:rPr>
          <w:rFonts w:hint="eastAsia" w:asciiTheme="minorEastAsia" w:hAnsiTheme="minorEastAsia" w:eastAsiaTheme="minorEastAsia" w:cstheme="minorEastAsia"/>
          <w:sz w:val="21"/>
          <w:szCs w:val="21"/>
        </w:rPr>
      </w:pPr>
      <w:r>
        <w:rPr>
          <w:rFonts w:hint="eastAsia" w:asciiTheme="minorEastAsia" w:hAnsiTheme="minorEastAsia" w:cstheme="minorEastAsia"/>
          <w:sz w:val="21"/>
          <w:szCs w:val="21"/>
          <w:lang w:val="en-US" w:eastAsia="zh-CN"/>
        </w:rPr>
        <w:t>3</w:t>
      </w:r>
      <w:r>
        <w:rPr>
          <w:rFonts w:hint="eastAsia" w:asciiTheme="minorEastAsia" w:hAnsiTheme="minorEastAsia" w:eastAsiaTheme="minorEastAsia" w:cstheme="minorEastAsia"/>
          <w:sz w:val="21"/>
          <w:szCs w:val="21"/>
        </w:rPr>
        <w:t>、甲方未及时向乙方提供资产评估所需的文件、资料，或提供的文件和资料不真实，因此产生的不良后果由甲方负责，</w:t>
      </w:r>
      <w:r>
        <w:rPr>
          <w:rFonts w:hint="eastAsia" w:asciiTheme="minorEastAsia" w:hAnsiTheme="minorEastAsia" w:cstheme="minorEastAsia"/>
          <w:sz w:val="21"/>
          <w:szCs w:val="21"/>
          <w:lang w:val="en-US" w:eastAsia="zh-CN"/>
        </w:rPr>
        <w:t>但乙方如未及时要求甲方补充材料而产生的不良后果乙方应承担相应责任</w:t>
      </w:r>
      <w:r>
        <w:rPr>
          <w:rFonts w:hint="eastAsia" w:asciiTheme="minorEastAsia" w:hAnsiTheme="minorEastAsia" w:eastAsiaTheme="minorEastAsia" w:cstheme="minorEastAsia"/>
          <w:sz w:val="21"/>
          <w:szCs w:val="21"/>
        </w:rPr>
        <w:t>。</w:t>
      </w:r>
    </w:p>
    <w:p w14:paraId="775F4DE7">
      <w:pPr>
        <w:pStyle w:val="57"/>
        <w:keepNext w:val="0"/>
        <w:keepLines w:val="0"/>
        <w:pageBreakBefore w:val="0"/>
        <w:numPr>
          <w:ilvl w:val="0"/>
          <w:numId w:val="0"/>
        </w:numPr>
        <w:kinsoku/>
        <w:wordWrap/>
        <w:overflowPunct/>
        <w:topLinePunct w:val="0"/>
        <w:autoSpaceDE/>
        <w:autoSpaceDN/>
        <w:bidi w:val="0"/>
        <w:adjustRightInd w:val="0"/>
        <w:snapToGrid w:val="0"/>
        <w:spacing w:line="520" w:lineRule="atLeast"/>
        <w:ind w:left="0" w:leftChars="0"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cstheme="minorEastAsia"/>
          <w:kern w:val="2"/>
          <w:sz w:val="21"/>
          <w:szCs w:val="21"/>
          <w:lang w:val="en-US" w:eastAsia="zh-CN"/>
        </w:rPr>
        <w:t>4</w:t>
      </w:r>
      <w:r>
        <w:rPr>
          <w:rFonts w:hint="eastAsia" w:asciiTheme="minorEastAsia" w:hAnsiTheme="minorEastAsia" w:eastAsiaTheme="minorEastAsia" w:cstheme="minorEastAsia"/>
          <w:kern w:val="2"/>
          <w:sz w:val="21"/>
          <w:szCs w:val="21"/>
          <w:lang w:val="en-US" w:eastAsia="zh-CN"/>
        </w:rPr>
        <w:t>.乙方违反本委托合同，不能在约定时间内提供专业水准的评估报告，每延期一天，支付相当于服务费总额0.5‰的违约金，如由此造成经济行为确指的资产业务无法进行或造成严重后果的，乙方应退还已收全部服务费，并承担相应的法律责任。延期超过十日的，甲方有权解除本合同，并要求乙方赔偿造成的全部损失。</w:t>
      </w:r>
    </w:p>
    <w:p w14:paraId="4B4DABC4">
      <w:pPr>
        <w:pStyle w:val="21"/>
        <w:keepNext w:val="0"/>
        <w:keepLines w:val="0"/>
        <w:pageBreakBefore w:val="0"/>
        <w:kinsoku/>
        <w:wordWrap/>
        <w:overflowPunct/>
        <w:topLinePunct w:val="0"/>
        <w:autoSpaceDE/>
        <w:autoSpaceDN/>
        <w:bidi w:val="0"/>
        <w:spacing w:line="520" w:lineRule="atLeast"/>
        <w:ind w:left="0" w:leftChars="0"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cstheme="minorEastAsia"/>
          <w:sz w:val="21"/>
          <w:szCs w:val="21"/>
          <w:lang w:val="en-US" w:eastAsia="zh-CN"/>
        </w:rPr>
        <w:t>5</w:t>
      </w:r>
      <w:r>
        <w:rPr>
          <w:rFonts w:hint="eastAsia" w:asciiTheme="minorEastAsia" w:hAnsiTheme="minorEastAsia" w:eastAsiaTheme="minorEastAsia" w:cstheme="minorEastAsia"/>
          <w:sz w:val="21"/>
          <w:szCs w:val="21"/>
          <w:lang w:val="en-US" w:eastAsia="zh-CN"/>
        </w:rPr>
        <w:t>.</w:t>
      </w:r>
      <w:r>
        <w:rPr>
          <w:rFonts w:hint="eastAsia" w:asciiTheme="minorEastAsia" w:hAnsiTheme="minorEastAsia" w:eastAsiaTheme="minorEastAsia" w:cstheme="minorEastAsia"/>
          <w:sz w:val="21"/>
          <w:szCs w:val="21"/>
        </w:rPr>
        <w:t>乙方或其工作人员违反信息保密义务给甲方造成损失的，乙方应承担赔偿责任；乙方报告出现错误给甲方或合法使用报告的第三方造成损失的，乙方应承担赔偿责任。</w:t>
      </w:r>
    </w:p>
    <w:p w14:paraId="07566502">
      <w:pPr>
        <w:keepNext w:val="0"/>
        <w:keepLines w:val="0"/>
        <w:pageBreakBefore w:val="0"/>
        <w:kinsoku/>
        <w:wordWrap/>
        <w:overflowPunct/>
        <w:topLinePunct w:val="0"/>
        <w:autoSpaceDE/>
        <w:autoSpaceDN/>
        <w:bidi w:val="0"/>
        <w:snapToGrid w:val="0"/>
        <w:spacing w:line="520" w:lineRule="atLeast"/>
        <w:ind w:firstLine="422" w:firstLineChars="200"/>
        <w:jc w:val="both"/>
        <w:textAlignment w:val="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十、双方争议解决及其他：</w:t>
      </w:r>
    </w:p>
    <w:p w14:paraId="4C1A3B5A">
      <w:pPr>
        <w:keepNext w:val="0"/>
        <w:keepLines w:val="0"/>
        <w:pageBreakBefore w:val="0"/>
        <w:kinsoku/>
        <w:wordWrap/>
        <w:overflowPunct/>
        <w:topLinePunct w:val="0"/>
        <w:autoSpaceDE/>
        <w:autoSpaceDN/>
        <w:bidi w:val="0"/>
        <w:snapToGrid w:val="0"/>
        <w:spacing w:line="520" w:lineRule="atLeast"/>
        <w:ind w:firstLine="420" w:firstLineChars="200"/>
        <w:jc w:val="both"/>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1、本合同经双方协商一致可以中止或解除。</w:t>
      </w:r>
    </w:p>
    <w:p w14:paraId="43CF6EB7">
      <w:pPr>
        <w:keepNext w:val="0"/>
        <w:keepLines w:val="0"/>
        <w:pageBreakBefore w:val="0"/>
        <w:kinsoku/>
        <w:wordWrap/>
        <w:overflowPunct/>
        <w:topLinePunct w:val="0"/>
        <w:autoSpaceDE/>
        <w:autoSpaceDN/>
        <w:bidi w:val="0"/>
        <w:snapToGrid w:val="0"/>
        <w:spacing w:line="520" w:lineRule="atLeast"/>
        <w:ind w:firstLine="420" w:firstLineChars="200"/>
        <w:jc w:val="both"/>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因甲方和其他相关当事人原因导致资产评估程序受限，对与评估目的相对应的评估结论构成重大影响，乙方无法履行本合同时，乙方可以单方解除本合同，甲方应根据乙方已开展资产评估业务的时间、进度，或者完成的评估工作量向乙方支付相应的评估服务费。</w:t>
      </w:r>
    </w:p>
    <w:p w14:paraId="2F6A033A">
      <w:pPr>
        <w:keepNext w:val="0"/>
        <w:keepLines w:val="0"/>
        <w:pageBreakBefore w:val="0"/>
        <w:kinsoku/>
        <w:wordWrap/>
        <w:overflowPunct/>
        <w:topLinePunct w:val="0"/>
        <w:autoSpaceDE/>
        <w:autoSpaceDN/>
        <w:bidi w:val="0"/>
        <w:snapToGrid w:val="0"/>
        <w:spacing w:line="520" w:lineRule="atLeast"/>
        <w:ind w:firstLine="420" w:firstLineChars="200"/>
        <w:jc w:val="both"/>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3、甲方要求乙方出具虚假资产评估报告或者有其他非法干预评估结论情形的，乙方有权单方解除本合同。</w:t>
      </w:r>
    </w:p>
    <w:p w14:paraId="574F50E3">
      <w:pPr>
        <w:keepNext w:val="0"/>
        <w:keepLines w:val="0"/>
        <w:pageBreakBefore w:val="0"/>
        <w:kinsoku/>
        <w:wordWrap/>
        <w:overflowPunct/>
        <w:topLinePunct w:val="0"/>
        <w:autoSpaceDE/>
        <w:autoSpaceDN/>
        <w:bidi w:val="0"/>
        <w:snapToGrid w:val="0"/>
        <w:spacing w:line="520" w:lineRule="atLeast"/>
        <w:ind w:firstLine="420" w:firstLineChars="200"/>
        <w:jc w:val="both"/>
        <w:textAlignment w:val="auto"/>
        <w:rPr>
          <w:rFonts w:hint="eastAsia" w:asciiTheme="minorEastAsia" w:hAnsiTheme="minorEastAsia" w:eastAsiaTheme="minorEastAsia" w:cstheme="minorEastAsia"/>
          <w:kern w:val="32"/>
          <w:sz w:val="21"/>
          <w:szCs w:val="21"/>
        </w:rPr>
      </w:pPr>
      <w:r>
        <w:rPr>
          <w:rFonts w:hint="eastAsia" w:asciiTheme="minorEastAsia" w:hAnsiTheme="minorEastAsia" w:eastAsiaTheme="minorEastAsia" w:cstheme="minorEastAsia"/>
          <w:kern w:val="32"/>
          <w:sz w:val="21"/>
          <w:szCs w:val="21"/>
        </w:rPr>
        <w:t>4、本合同未明确的内容或未尽事宜由双方协商，协商达成一致后以</w:t>
      </w:r>
      <w:r>
        <w:rPr>
          <w:rFonts w:hint="eastAsia" w:asciiTheme="minorEastAsia" w:hAnsiTheme="minorEastAsia" w:cstheme="minorEastAsia"/>
          <w:kern w:val="32"/>
          <w:sz w:val="21"/>
          <w:szCs w:val="21"/>
          <w:lang w:val="en-US" w:eastAsia="zh-CN"/>
        </w:rPr>
        <w:t>书面</w:t>
      </w:r>
      <w:r>
        <w:rPr>
          <w:rFonts w:hint="eastAsia" w:asciiTheme="minorEastAsia" w:hAnsiTheme="minorEastAsia" w:eastAsiaTheme="minorEastAsia" w:cstheme="minorEastAsia"/>
          <w:kern w:val="32"/>
          <w:sz w:val="21"/>
          <w:szCs w:val="21"/>
        </w:rPr>
        <w:t>形式作为本合同的附件与本合同有同等的法律效力。</w:t>
      </w:r>
    </w:p>
    <w:p w14:paraId="3D644441">
      <w:pPr>
        <w:keepNext w:val="0"/>
        <w:keepLines w:val="0"/>
        <w:pageBreakBefore w:val="0"/>
        <w:kinsoku/>
        <w:wordWrap/>
        <w:overflowPunct/>
        <w:topLinePunct w:val="0"/>
        <w:autoSpaceDE/>
        <w:autoSpaceDN/>
        <w:bidi w:val="0"/>
        <w:snapToGrid w:val="0"/>
        <w:spacing w:line="520" w:lineRule="atLeast"/>
        <w:ind w:firstLine="420" w:firstLineChars="200"/>
        <w:jc w:val="both"/>
        <w:textAlignment w:val="auto"/>
        <w:rPr>
          <w:rFonts w:hint="eastAsia" w:asciiTheme="minorEastAsia" w:hAnsiTheme="minorEastAsia" w:eastAsiaTheme="minorEastAsia" w:cstheme="minorEastAsia"/>
          <w:kern w:val="32"/>
          <w:sz w:val="21"/>
          <w:szCs w:val="21"/>
        </w:rPr>
      </w:pPr>
      <w:r>
        <w:rPr>
          <w:rFonts w:hint="eastAsia" w:asciiTheme="minorEastAsia" w:hAnsiTheme="minorEastAsia" w:eastAsiaTheme="minorEastAsia" w:cstheme="minorEastAsia"/>
          <w:kern w:val="32"/>
          <w:sz w:val="21"/>
          <w:szCs w:val="21"/>
        </w:rPr>
        <w:t>5、因本合同</w:t>
      </w:r>
      <w:r>
        <w:rPr>
          <w:rFonts w:hint="eastAsia" w:asciiTheme="minorEastAsia" w:hAnsiTheme="minorEastAsia" w:eastAsiaTheme="minorEastAsia" w:cstheme="minorEastAsia"/>
          <w:sz w:val="21"/>
          <w:szCs w:val="21"/>
        </w:rPr>
        <w:t>产生</w:t>
      </w:r>
      <w:r>
        <w:rPr>
          <w:rFonts w:hint="eastAsia" w:asciiTheme="minorEastAsia" w:hAnsiTheme="minorEastAsia" w:eastAsiaTheme="minorEastAsia" w:cstheme="minorEastAsia"/>
          <w:kern w:val="32"/>
          <w:sz w:val="21"/>
          <w:szCs w:val="21"/>
        </w:rPr>
        <w:t>的争议由双方协商解决，协商不成时，</w:t>
      </w:r>
      <w:r>
        <w:rPr>
          <w:rFonts w:hint="eastAsia" w:asciiTheme="minorEastAsia" w:hAnsiTheme="minorEastAsia" w:cstheme="minorEastAsia"/>
          <w:kern w:val="32"/>
          <w:sz w:val="21"/>
          <w:szCs w:val="21"/>
          <w:lang w:val="en-US" w:eastAsia="zh-CN"/>
        </w:rPr>
        <w:t>任何一方可</w:t>
      </w:r>
      <w:r>
        <w:rPr>
          <w:rFonts w:hint="eastAsia" w:asciiTheme="minorEastAsia" w:hAnsiTheme="minorEastAsia" w:eastAsiaTheme="minorEastAsia" w:cstheme="minorEastAsia"/>
          <w:kern w:val="32"/>
          <w:sz w:val="21"/>
          <w:szCs w:val="21"/>
        </w:rPr>
        <w:t>向</w:t>
      </w:r>
      <w:r>
        <w:rPr>
          <w:rFonts w:hint="eastAsia" w:asciiTheme="minorEastAsia" w:hAnsiTheme="minorEastAsia" w:eastAsiaTheme="minorEastAsia" w:cstheme="minorEastAsia"/>
          <w:kern w:val="32"/>
          <w:sz w:val="21"/>
          <w:szCs w:val="21"/>
          <w:lang w:val="en-US" w:eastAsia="zh-CN"/>
        </w:rPr>
        <w:t>甲方</w:t>
      </w:r>
      <w:r>
        <w:rPr>
          <w:rFonts w:hint="eastAsia" w:asciiTheme="minorEastAsia" w:hAnsiTheme="minorEastAsia" w:eastAsiaTheme="minorEastAsia" w:cstheme="minorEastAsia"/>
          <w:kern w:val="32"/>
          <w:sz w:val="21"/>
          <w:szCs w:val="21"/>
        </w:rPr>
        <w:t>所在地</w:t>
      </w:r>
      <w:r>
        <w:rPr>
          <w:rFonts w:hint="eastAsia" w:asciiTheme="minorEastAsia" w:hAnsiTheme="minorEastAsia" w:eastAsiaTheme="minorEastAsia" w:cstheme="minorEastAsia"/>
          <w:kern w:val="32"/>
          <w:sz w:val="21"/>
          <w:szCs w:val="21"/>
          <w:lang w:val="en-US" w:eastAsia="zh-CN"/>
        </w:rPr>
        <w:t>有管辖权的</w:t>
      </w:r>
      <w:r>
        <w:rPr>
          <w:rFonts w:hint="eastAsia" w:asciiTheme="minorEastAsia" w:hAnsiTheme="minorEastAsia" w:eastAsiaTheme="minorEastAsia" w:cstheme="minorEastAsia"/>
          <w:kern w:val="32"/>
          <w:sz w:val="21"/>
          <w:szCs w:val="21"/>
        </w:rPr>
        <w:t>人民法院起诉。</w:t>
      </w:r>
    </w:p>
    <w:p w14:paraId="486D9793">
      <w:pPr>
        <w:keepNext w:val="0"/>
        <w:keepLines w:val="0"/>
        <w:pageBreakBefore w:val="0"/>
        <w:kinsoku/>
        <w:wordWrap/>
        <w:overflowPunct/>
        <w:topLinePunct w:val="0"/>
        <w:autoSpaceDE/>
        <w:autoSpaceDN/>
        <w:bidi w:val="0"/>
        <w:snapToGrid w:val="0"/>
        <w:spacing w:line="520" w:lineRule="atLeast"/>
        <w:ind w:firstLine="420" w:firstLineChars="200"/>
        <w:jc w:val="both"/>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6、本合同经双方</w:t>
      </w:r>
      <w:r>
        <w:rPr>
          <w:rFonts w:hint="eastAsia" w:asciiTheme="minorEastAsia" w:hAnsiTheme="minorEastAsia" w:cstheme="minorEastAsia"/>
          <w:sz w:val="21"/>
          <w:szCs w:val="21"/>
          <w:lang w:val="en-US" w:eastAsia="zh-CN"/>
        </w:rPr>
        <w:t>代表</w:t>
      </w:r>
      <w:r>
        <w:rPr>
          <w:rFonts w:hint="eastAsia" w:asciiTheme="minorEastAsia" w:hAnsiTheme="minorEastAsia" w:eastAsiaTheme="minorEastAsia" w:cstheme="minorEastAsia"/>
          <w:sz w:val="21"/>
          <w:szCs w:val="21"/>
        </w:rPr>
        <w:t>签</w:t>
      </w:r>
      <w:r>
        <w:rPr>
          <w:rFonts w:hint="eastAsia" w:asciiTheme="minorEastAsia" w:hAnsiTheme="minorEastAsia" w:eastAsiaTheme="minorEastAsia" w:cstheme="minorEastAsia"/>
          <w:sz w:val="21"/>
          <w:szCs w:val="21"/>
          <w:lang w:val="en-US" w:eastAsia="zh-CN"/>
        </w:rPr>
        <w:t>名</w:t>
      </w:r>
      <w:r>
        <w:rPr>
          <w:rFonts w:hint="eastAsia" w:asciiTheme="minorEastAsia" w:hAnsiTheme="minorEastAsia" w:eastAsiaTheme="minorEastAsia" w:cstheme="minorEastAsia"/>
          <w:sz w:val="21"/>
          <w:szCs w:val="21"/>
        </w:rPr>
        <w:t>，并加盖单位公章或合同专用章后，即发生法律效力。</w:t>
      </w:r>
    </w:p>
    <w:p w14:paraId="72DDE405">
      <w:pPr>
        <w:keepNext w:val="0"/>
        <w:keepLines w:val="0"/>
        <w:pageBreakBefore w:val="0"/>
        <w:kinsoku/>
        <w:wordWrap/>
        <w:overflowPunct/>
        <w:topLinePunct w:val="0"/>
        <w:autoSpaceDE/>
        <w:autoSpaceDN/>
        <w:bidi w:val="0"/>
        <w:snapToGrid w:val="0"/>
        <w:spacing w:line="520" w:lineRule="atLeast"/>
        <w:ind w:firstLine="420" w:firstLineChars="200"/>
        <w:jc w:val="both"/>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7、本合同正本一式</w:t>
      </w:r>
      <w:r>
        <w:rPr>
          <w:rFonts w:hint="eastAsia" w:asciiTheme="minorEastAsia" w:hAnsiTheme="minorEastAsia" w:eastAsiaTheme="minorEastAsia" w:cstheme="minorEastAsia"/>
          <w:sz w:val="21"/>
          <w:szCs w:val="21"/>
          <w:lang w:val="en-US" w:eastAsia="zh-CN"/>
        </w:rPr>
        <w:t>贰</w:t>
      </w:r>
      <w:r>
        <w:rPr>
          <w:rFonts w:hint="eastAsia" w:asciiTheme="minorEastAsia" w:hAnsiTheme="minorEastAsia" w:eastAsiaTheme="minorEastAsia" w:cstheme="minorEastAsia"/>
          <w:sz w:val="21"/>
          <w:szCs w:val="21"/>
        </w:rPr>
        <w:t>份，</w:t>
      </w:r>
      <w:r>
        <w:rPr>
          <w:rFonts w:hint="eastAsia" w:asciiTheme="minorEastAsia" w:hAnsiTheme="minorEastAsia" w:eastAsiaTheme="minorEastAsia" w:cstheme="minorEastAsia"/>
          <w:sz w:val="21"/>
          <w:szCs w:val="21"/>
          <w:lang w:val="en-US" w:eastAsia="zh-CN"/>
        </w:rPr>
        <w:t>甲乙双</w:t>
      </w:r>
      <w:r>
        <w:rPr>
          <w:rFonts w:hint="eastAsia" w:asciiTheme="minorEastAsia" w:hAnsiTheme="minorEastAsia" w:eastAsiaTheme="minorEastAsia" w:cstheme="minorEastAsia"/>
          <w:sz w:val="21"/>
          <w:szCs w:val="21"/>
        </w:rPr>
        <w:t>方</w:t>
      </w:r>
      <w:r>
        <w:rPr>
          <w:rFonts w:hint="eastAsia" w:asciiTheme="minorEastAsia" w:hAnsiTheme="minorEastAsia" w:eastAsiaTheme="minorEastAsia" w:cstheme="minorEastAsia"/>
          <w:sz w:val="21"/>
          <w:szCs w:val="21"/>
          <w:lang w:val="en-US" w:eastAsia="zh-CN"/>
        </w:rPr>
        <w:t>各执壹份，</w:t>
      </w:r>
      <w:r>
        <w:rPr>
          <w:rFonts w:hint="eastAsia" w:asciiTheme="minorEastAsia" w:hAnsiTheme="minorEastAsia" w:eastAsiaTheme="minorEastAsia" w:cstheme="minorEastAsia"/>
          <w:sz w:val="21"/>
          <w:szCs w:val="21"/>
        </w:rPr>
        <w:t>具有同等法律效力。</w:t>
      </w:r>
    </w:p>
    <w:p w14:paraId="38EAD7C1">
      <w:pPr>
        <w:keepNext w:val="0"/>
        <w:keepLines w:val="0"/>
        <w:pageBreakBefore w:val="0"/>
        <w:kinsoku/>
        <w:wordWrap/>
        <w:overflowPunct/>
        <w:topLinePunct w:val="0"/>
        <w:autoSpaceDE/>
        <w:autoSpaceDN/>
        <w:bidi w:val="0"/>
        <w:snapToGrid w:val="0"/>
        <w:spacing w:line="520" w:lineRule="atLeast"/>
        <w:ind w:firstLine="420" w:firstLineChars="200"/>
        <w:jc w:val="both"/>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8、如遇到国家有关政策调整、法律修改及其他不可抗力事件，导致甲、乙双方或任何一方无法履行本合同，所遗留问题由双方协商解决。</w:t>
      </w:r>
    </w:p>
    <w:p w14:paraId="4BEF09EC">
      <w:pPr>
        <w:keepNext w:val="0"/>
        <w:keepLines w:val="0"/>
        <w:pageBreakBefore w:val="0"/>
        <w:kinsoku/>
        <w:wordWrap/>
        <w:overflowPunct/>
        <w:topLinePunct w:val="0"/>
        <w:autoSpaceDE/>
        <w:autoSpaceDN/>
        <w:bidi w:val="0"/>
        <w:snapToGrid w:val="0"/>
        <w:spacing w:line="520" w:lineRule="atLeast"/>
        <w:ind w:firstLine="420" w:firstLineChars="200"/>
        <w:jc w:val="both"/>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9、本合同中“甲方代表</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rPr>
        <w:t>乙方代表”特指合同当事人双方企业法定代表人或法定代表人的授权人。</w:t>
      </w:r>
    </w:p>
    <w:p w14:paraId="35DF657B">
      <w:pPr>
        <w:pStyle w:val="21"/>
        <w:ind w:left="0" w:leftChars="0" w:firstLine="420" w:firstLineChars="20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w:t>
      </w:r>
      <w:r>
        <w:rPr>
          <w:rFonts w:hint="eastAsia" w:asciiTheme="minorEastAsia" w:hAnsiTheme="minorEastAsia" w:cstheme="minorEastAsia"/>
          <w:sz w:val="21"/>
          <w:szCs w:val="21"/>
          <w:lang w:val="en-US" w:eastAsia="zh-CN"/>
        </w:rPr>
        <w:t>0</w:t>
      </w:r>
      <w:r>
        <w:rPr>
          <w:rFonts w:hint="eastAsia" w:asciiTheme="minorEastAsia" w:hAnsiTheme="minorEastAsia" w:eastAsiaTheme="minorEastAsia" w:cstheme="minorEastAsia"/>
          <w:sz w:val="21"/>
          <w:szCs w:val="21"/>
          <w:lang w:val="en-US" w:eastAsia="zh-CN"/>
        </w:rPr>
        <w:t>、下列</w:t>
      </w:r>
      <w:r>
        <w:rPr>
          <w:rFonts w:hint="eastAsia" w:asciiTheme="minorEastAsia" w:hAnsiTheme="minorEastAsia" w:cstheme="minorEastAsia"/>
          <w:sz w:val="21"/>
          <w:szCs w:val="21"/>
          <w:lang w:val="en-US" w:eastAsia="zh-CN"/>
        </w:rPr>
        <w:t>询价</w:t>
      </w:r>
      <w:r>
        <w:rPr>
          <w:rFonts w:hint="eastAsia" w:asciiTheme="minorEastAsia" w:hAnsiTheme="minorEastAsia" w:eastAsiaTheme="minorEastAsia" w:cstheme="minorEastAsia"/>
          <w:sz w:val="21"/>
          <w:szCs w:val="21"/>
          <w:lang w:val="en-US" w:eastAsia="zh-CN"/>
        </w:rPr>
        <w:t>文件及有关附件是本合同不可分割的组成部分，并构成一个整体，需综合解释、相互补充。如果下列文件内容出现不一致的情形，组成本合同的多个文件的优先适用及解释的顺序如下：</w:t>
      </w:r>
    </w:p>
    <w:p w14:paraId="216822A0">
      <w:pPr>
        <w:pStyle w:val="21"/>
        <w:ind w:left="0" w:leftChars="0" w:firstLine="420" w:firstLineChars="20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（1）本合同及其补充合同、变更协议；</w:t>
      </w:r>
    </w:p>
    <w:p w14:paraId="75CA26C1">
      <w:pPr>
        <w:pStyle w:val="21"/>
        <w:ind w:left="0" w:leftChars="0" w:firstLine="420" w:firstLineChars="20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（2）成交（中标）通知书；</w:t>
      </w:r>
    </w:p>
    <w:p w14:paraId="740D9C8A">
      <w:pPr>
        <w:pStyle w:val="21"/>
        <w:ind w:left="0" w:leftChars="0" w:firstLine="420" w:firstLineChars="20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（3）经甲方确认的乙方承诺书；</w:t>
      </w:r>
    </w:p>
    <w:p w14:paraId="2395DBF2">
      <w:pPr>
        <w:pStyle w:val="21"/>
        <w:ind w:left="0" w:leftChars="0" w:firstLine="420" w:firstLineChars="20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（4）</w:t>
      </w:r>
      <w:r>
        <w:rPr>
          <w:rFonts w:hint="eastAsia" w:asciiTheme="minorEastAsia" w:hAnsiTheme="minorEastAsia" w:cstheme="minorEastAsia"/>
          <w:sz w:val="21"/>
          <w:szCs w:val="21"/>
          <w:lang w:val="en-US" w:eastAsia="zh-CN"/>
        </w:rPr>
        <w:t>询价</w:t>
      </w:r>
      <w:r>
        <w:rPr>
          <w:rFonts w:hint="eastAsia" w:asciiTheme="minorEastAsia" w:hAnsiTheme="minorEastAsia" w:eastAsiaTheme="minorEastAsia" w:cstheme="minorEastAsia"/>
          <w:sz w:val="21"/>
          <w:szCs w:val="21"/>
          <w:lang w:val="en-US" w:eastAsia="zh-CN"/>
        </w:rPr>
        <w:t>文件（含澄清或者修改文件）；</w:t>
      </w:r>
    </w:p>
    <w:p w14:paraId="2CBE6B2D">
      <w:pPr>
        <w:pStyle w:val="21"/>
        <w:ind w:left="0" w:leftChars="0" w:firstLine="420" w:firstLineChars="20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（5）投标文件；</w:t>
      </w:r>
    </w:p>
    <w:p w14:paraId="33BFC705">
      <w:pPr>
        <w:pStyle w:val="21"/>
        <w:ind w:left="0" w:leftChars="0" w:firstLine="420" w:firstLineChars="200"/>
        <w:rPr>
          <w:rFonts w:hint="eastAsia" w:asciiTheme="minorEastAsia" w:hAnsiTheme="minorEastAsia" w:eastAsiaTheme="minorEastAsia" w:cstheme="minorEastAsia"/>
          <w:szCs w:val="21"/>
          <w:lang w:val="en-US" w:eastAsia="zh-CN"/>
        </w:rPr>
      </w:pPr>
      <w:r>
        <w:rPr>
          <w:rFonts w:hint="eastAsia" w:asciiTheme="minorEastAsia" w:hAnsiTheme="minorEastAsia" w:eastAsiaTheme="minorEastAsia" w:cstheme="minorEastAsia"/>
          <w:sz w:val="21"/>
          <w:szCs w:val="21"/>
          <w:lang w:val="en-US" w:eastAsia="zh-CN"/>
        </w:rPr>
        <w:t>（6）其他相关</w:t>
      </w:r>
      <w:r>
        <w:rPr>
          <w:rFonts w:hint="eastAsia" w:asciiTheme="minorEastAsia" w:hAnsiTheme="minorEastAsia" w:cstheme="minorEastAsia"/>
          <w:sz w:val="21"/>
          <w:szCs w:val="21"/>
          <w:lang w:val="en-US" w:eastAsia="zh-CN"/>
        </w:rPr>
        <w:t>询价</w:t>
      </w:r>
      <w:r>
        <w:rPr>
          <w:rFonts w:hint="eastAsia" w:asciiTheme="minorEastAsia" w:hAnsiTheme="minorEastAsia" w:eastAsiaTheme="minorEastAsia" w:cstheme="minorEastAsia"/>
          <w:sz w:val="21"/>
          <w:szCs w:val="21"/>
          <w:lang w:val="en-US" w:eastAsia="zh-CN"/>
        </w:rPr>
        <w:t>文件。</w:t>
      </w:r>
    </w:p>
    <w:p w14:paraId="4E859C3F">
      <w:pPr>
        <w:keepNext w:val="0"/>
        <w:keepLines w:val="0"/>
        <w:pageBreakBefore w:val="0"/>
        <w:kinsoku/>
        <w:wordWrap/>
        <w:overflowPunct/>
        <w:topLinePunct w:val="0"/>
        <w:autoSpaceDE/>
        <w:autoSpaceDN/>
        <w:bidi w:val="0"/>
        <w:snapToGrid w:val="0"/>
        <w:spacing w:line="520" w:lineRule="atLeast"/>
        <w:ind w:firstLine="420" w:firstLineChars="200"/>
        <w:jc w:val="both"/>
        <w:textAlignment w:val="auto"/>
        <w:rPr>
          <w:rFonts w:hint="eastAsia" w:asciiTheme="minorEastAsia" w:hAnsiTheme="minorEastAsia" w:eastAsiaTheme="minorEastAsia" w:cstheme="minorEastAsia"/>
          <w:sz w:val="21"/>
          <w:szCs w:val="21"/>
        </w:rPr>
      </w:pPr>
    </w:p>
    <w:tbl>
      <w:tblPr>
        <w:tblStyle w:val="22"/>
        <w:tblW w:w="8718" w:type="dxa"/>
        <w:tblInd w:w="108" w:type="dxa"/>
        <w:tblLayout w:type="autofit"/>
        <w:tblCellMar>
          <w:top w:w="0" w:type="dxa"/>
          <w:left w:w="108" w:type="dxa"/>
          <w:bottom w:w="0" w:type="dxa"/>
          <w:right w:w="108" w:type="dxa"/>
        </w:tblCellMar>
      </w:tblPr>
      <w:tblGrid>
        <w:gridCol w:w="4536"/>
        <w:gridCol w:w="4182"/>
      </w:tblGrid>
      <w:tr w14:paraId="7A0505C5">
        <w:tblPrEx>
          <w:tblCellMar>
            <w:top w:w="0" w:type="dxa"/>
            <w:left w:w="108" w:type="dxa"/>
            <w:bottom w:w="0" w:type="dxa"/>
            <w:right w:w="108" w:type="dxa"/>
          </w:tblCellMar>
        </w:tblPrEx>
        <w:tc>
          <w:tcPr>
            <w:tcW w:w="4536" w:type="dxa"/>
            <w:noWrap w:val="0"/>
            <w:vAlign w:val="top"/>
          </w:tcPr>
          <w:p w14:paraId="20E776B3">
            <w:pPr>
              <w:keepNext w:val="0"/>
              <w:keepLines w:val="0"/>
              <w:pageBreakBefore w:val="0"/>
              <w:kinsoku/>
              <w:wordWrap/>
              <w:overflowPunct/>
              <w:topLinePunct w:val="0"/>
              <w:autoSpaceDE/>
              <w:autoSpaceDN/>
              <w:bidi w:val="0"/>
              <w:snapToGrid w:val="0"/>
              <w:spacing w:line="520" w:lineRule="atLeast"/>
              <w:textAlignment w:val="auto"/>
              <w:rPr>
                <w:rFonts w:hint="eastAsia" w:asciiTheme="minorEastAsia" w:hAnsiTheme="minorEastAsia" w:eastAsiaTheme="minorEastAsia" w:cstheme="minorEastAsia"/>
                <w:spacing w:val="10"/>
                <w:sz w:val="21"/>
                <w:szCs w:val="21"/>
                <w:lang w:val="en-US" w:eastAsia="zh-CN"/>
              </w:rPr>
            </w:pPr>
            <w:r>
              <w:rPr>
                <w:rFonts w:hint="eastAsia" w:asciiTheme="minorEastAsia" w:hAnsiTheme="minorEastAsia" w:eastAsiaTheme="minorEastAsia" w:cstheme="minorEastAsia"/>
                <w:spacing w:val="10"/>
                <w:sz w:val="21"/>
                <w:szCs w:val="21"/>
              </w:rPr>
              <w:t>甲方</w:t>
            </w:r>
            <w:r>
              <w:rPr>
                <w:rFonts w:hint="eastAsia" w:asciiTheme="minorEastAsia" w:hAnsiTheme="minorEastAsia" w:eastAsiaTheme="minorEastAsia" w:cstheme="minorEastAsia"/>
                <w:spacing w:val="10"/>
                <w:sz w:val="21"/>
                <w:szCs w:val="21"/>
                <w:lang w:eastAsia="zh-CN"/>
              </w:rPr>
              <w:t>（</w:t>
            </w:r>
            <w:r>
              <w:rPr>
                <w:rFonts w:hint="eastAsia" w:asciiTheme="minorEastAsia" w:hAnsiTheme="minorEastAsia" w:eastAsiaTheme="minorEastAsia" w:cstheme="minorEastAsia"/>
                <w:spacing w:val="10"/>
                <w:sz w:val="21"/>
                <w:szCs w:val="21"/>
              </w:rPr>
              <w:t>盖章</w:t>
            </w:r>
            <w:r>
              <w:rPr>
                <w:rFonts w:hint="eastAsia" w:asciiTheme="minorEastAsia" w:hAnsiTheme="minorEastAsia" w:eastAsiaTheme="minorEastAsia" w:cstheme="minorEastAsia"/>
                <w:spacing w:val="10"/>
                <w:sz w:val="21"/>
                <w:szCs w:val="21"/>
                <w:lang w:eastAsia="zh-CN"/>
              </w:rPr>
              <w:t>）</w:t>
            </w:r>
            <w:r>
              <w:rPr>
                <w:rFonts w:hint="eastAsia" w:asciiTheme="minorEastAsia" w:hAnsiTheme="minorEastAsia" w:eastAsiaTheme="minorEastAsia" w:cstheme="minorEastAsia"/>
                <w:spacing w:val="10"/>
                <w:sz w:val="21"/>
                <w:szCs w:val="21"/>
              </w:rPr>
              <w:t>：</w:t>
            </w:r>
            <w:r>
              <w:rPr>
                <w:rFonts w:hint="eastAsia" w:asciiTheme="minorEastAsia" w:hAnsiTheme="minorEastAsia" w:eastAsiaTheme="minorEastAsia" w:cstheme="minorEastAsia"/>
                <w:spacing w:val="10"/>
                <w:sz w:val="21"/>
                <w:szCs w:val="21"/>
                <w:lang w:val="en-US" w:eastAsia="zh-CN"/>
              </w:rPr>
              <w:t>合肥文旅博览集团有限公司</w:t>
            </w:r>
          </w:p>
        </w:tc>
        <w:tc>
          <w:tcPr>
            <w:tcW w:w="4182" w:type="dxa"/>
            <w:noWrap w:val="0"/>
            <w:vAlign w:val="top"/>
          </w:tcPr>
          <w:p w14:paraId="328E9ABB">
            <w:pPr>
              <w:keepNext w:val="0"/>
              <w:keepLines w:val="0"/>
              <w:pageBreakBefore w:val="0"/>
              <w:kinsoku/>
              <w:wordWrap/>
              <w:overflowPunct/>
              <w:topLinePunct w:val="0"/>
              <w:autoSpaceDE/>
              <w:autoSpaceDN/>
              <w:bidi w:val="0"/>
              <w:snapToGrid w:val="0"/>
              <w:spacing w:line="520" w:lineRule="atLeast"/>
              <w:textAlignment w:val="auto"/>
              <w:rPr>
                <w:rFonts w:hint="eastAsia" w:asciiTheme="minorEastAsia" w:hAnsiTheme="minorEastAsia" w:eastAsiaTheme="minorEastAsia" w:cstheme="minorEastAsia"/>
                <w:spacing w:val="10"/>
                <w:sz w:val="21"/>
                <w:szCs w:val="21"/>
              </w:rPr>
            </w:pPr>
            <w:r>
              <w:rPr>
                <w:rFonts w:hint="eastAsia" w:asciiTheme="minorEastAsia" w:hAnsiTheme="minorEastAsia" w:eastAsiaTheme="minorEastAsia" w:cstheme="minorEastAsia"/>
                <w:spacing w:val="10"/>
                <w:sz w:val="21"/>
                <w:szCs w:val="21"/>
              </w:rPr>
              <w:t>乙方</w:t>
            </w:r>
            <w:r>
              <w:rPr>
                <w:rFonts w:hint="eastAsia" w:asciiTheme="minorEastAsia" w:hAnsiTheme="minorEastAsia" w:eastAsiaTheme="minorEastAsia" w:cstheme="minorEastAsia"/>
                <w:spacing w:val="10"/>
                <w:sz w:val="21"/>
                <w:szCs w:val="21"/>
                <w:lang w:eastAsia="zh-CN"/>
              </w:rPr>
              <w:t>（</w:t>
            </w:r>
            <w:r>
              <w:rPr>
                <w:rFonts w:hint="eastAsia" w:asciiTheme="minorEastAsia" w:hAnsiTheme="minorEastAsia" w:eastAsiaTheme="minorEastAsia" w:cstheme="minorEastAsia"/>
                <w:spacing w:val="10"/>
                <w:sz w:val="21"/>
                <w:szCs w:val="21"/>
              </w:rPr>
              <w:t>盖章</w:t>
            </w:r>
            <w:r>
              <w:rPr>
                <w:rFonts w:hint="eastAsia" w:asciiTheme="minorEastAsia" w:hAnsiTheme="minorEastAsia" w:eastAsiaTheme="minorEastAsia" w:cstheme="minorEastAsia"/>
                <w:spacing w:val="10"/>
                <w:sz w:val="21"/>
                <w:szCs w:val="21"/>
                <w:lang w:eastAsia="zh-CN"/>
              </w:rPr>
              <w:t>）</w:t>
            </w:r>
            <w:r>
              <w:rPr>
                <w:rFonts w:hint="eastAsia" w:asciiTheme="minorEastAsia" w:hAnsiTheme="minorEastAsia" w:eastAsiaTheme="minorEastAsia" w:cstheme="minorEastAsia"/>
                <w:spacing w:val="10"/>
                <w:sz w:val="21"/>
                <w:szCs w:val="21"/>
              </w:rPr>
              <w:t>：</w:t>
            </w:r>
          </w:p>
        </w:tc>
      </w:tr>
      <w:tr w14:paraId="28D02D94">
        <w:tblPrEx>
          <w:tblCellMar>
            <w:top w:w="0" w:type="dxa"/>
            <w:left w:w="108" w:type="dxa"/>
            <w:bottom w:w="0" w:type="dxa"/>
            <w:right w:w="108" w:type="dxa"/>
          </w:tblCellMar>
        </w:tblPrEx>
        <w:trPr>
          <w:trHeight w:val="620" w:hRule="atLeast"/>
        </w:trPr>
        <w:tc>
          <w:tcPr>
            <w:tcW w:w="4536" w:type="dxa"/>
            <w:noWrap w:val="0"/>
            <w:vAlign w:val="top"/>
          </w:tcPr>
          <w:p w14:paraId="715BB030">
            <w:pPr>
              <w:keepNext w:val="0"/>
              <w:keepLines w:val="0"/>
              <w:pageBreakBefore w:val="0"/>
              <w:kinsoku/>
              <w:wordWrap/>
              <w:overflowPunct/>
              <w:topLinePunct w:val="0"/>
              <w:autoSpaceDE/>
              <w:autoSpaceDN/>
              <w:bidi w:val="0"/>
              <w:snapToGrid w:val="0"/>
              <w:spacing w:line="520" w:lineRule="atLeast"/>
              <w:textAlignment w:val="auto"/>
              <w:rPr>
                <w:rFonts w:hint="eastAsia" w:asciiTheme="minorEastAsia" w:hAnsiTheme="minorEastAsia" w:eastAsiaTheme="minorEastAsia" w:cstheme="minorEastAsia"/>
                <w:spacing w:val="10"/>
                <w:sz w:val="21"/>
                <w:szCs w:val="21"/>
              </w:rPr>
            </w:pPr>
          </w:p>
        </w:tc>
        <w:tc>
          <w:tcPr>
            <w:tcW w:w="4182" w:type="dxa"/>
            <w:noWrap w:val="0"/>
            <w:vAlign w:val="top"/>
          </w:tcPr>
          <w:p w14:paraId="48CD5EE3">
            <w:pPr>
              <w:keepNext w:val="0"/>
              <w:keepLines w:val="0"/>
              <w:pageBreakBefore w:val="0"/>
              <w:kinsoku/>
              <w:wordWrap/>
              <w:overflowPunct/>
              <w:topLinePunct w:val="0"/>
              <w:autoSpaceDE/>
              <w:autoSpaceDN/>
              <w:bidi w:val="0"/>
              <w:snapToGrid w:val="0"/>
              <w:spacing w:line="520" w:lineRule="atLeast"/>
              <w:textAlignment w:val="auto"/>
              <w:rPr>
                <w:rFonts w:hint="eastAsia" w:asciiTheme="minorEastAsia" w:hAnsiTheme="minorEastAsia" w:eastAsiaTheme="minorEastAsia" w:cstheme="minorEastAsia"/>
                <w:spacing w:val="10"/>
                <w:sz w:val="21"/>
                <w:szCs w:val="21"/>
              </w:rPr>
            </w:pPr>
          </w:p>
        </w:tc>
      </w:tr>
      <w:tr w14:paraId="7BAD0EDA">
        <w:tblPrEx>
          <w:tblCellMar>
            <w:top w:w="0" w:type="dxa"/>
            <w:left w:w="108" w:type="dxa"/>
            <w:bottom w:w="0" w:type="dxa"/>
            <w:right w:w="108" w:type="dxa"/>
          </w:tblCellMar>
        </w:tblPrEx>
        <w:tc>
          <w:tcPr>
            <w:tcW w:w="4536" w:type="dxa"/>
            <w:noWrap w:val="0"/>
            <w:vAlign w:val="top"/>
          </w:tcPr>
          <w:p w14:paraId="3BF06C7A">
            <w:pPr>
              <w:keepNext w:val="0"/>
              <w:keepLines w:val="0"/>
              <w:pageBreakBefore w:val="0"/>
              <w:kinsoku/>
              <w:wordWrap/>
              <w:overflowPunct/>
              <w:topLinePunct w:val="0"/>
              <w:autoSpaceDE/>
              <w:autoSpaceDN/>
              <w:bidi w:val="0"/>
              <w:snapToGrid w:val="0"/>
              <w:spacing w:line="520" w:lineRule="atLeast"/>
              <w:textAlignment w:val="auto"/>
              <w:rPr>
                <w:rFonts w:hint="eastAsia" w:asciiTheme="minorEastAsia" w:hAnsiTheme="minorEastAsia" w:eastAsiaTheme="minorEastAsia" w:cstheme="minorEastAsia"/>
                <w:spacing w:val="10"/>
                <w:sz w:val="21"/>
                <w:szCs w:val="21"/>
              </w:rPr>
            </w:pPr>
            <w:r>
              <w:rPr>
                <w:rFonts w:hint="eastAsia" w:asciiTheme="minorEastAsia" w:hAnsiTheme="minorEastAsia" w:eastAsiaTheme="minorEastAsia" w:cstheme="minorEastAsia"/>
                <w:spacing w:val="10"/>
                <w:sz w:val="21"/>
                <w:szCs w:val="21"/>
              </w:rPr>
              <w:t>甲方代表</w:t>
            </w:r>
            <w:r>
              <w:rPr>
                <w:rFonts w:hint="eastAsia" w:asciiTheme="minorEastAsia" w:hAnsiTheme="minorEastAsia" w:eastAsiaTheme="minorEastAsia" w:cstheme="minorEastAsia"/>
                <w:spacing w:val="10"/>
                <w:sz w:val="21"/>
                <w:szCs w:val="21"/>
                <w:lang w:eastAsia="zh-CN"/>
              </w:rPr>
              <w:t>（</w:t>
            </w:r>
            <w:r>
              <w:rPr>
                <w:rFonts w:hint="eastAsia" w:asciiTheme="minorEastAsia" w:hAnsiTheme="minorEastAsia" w:eastAsiaTheme="minorEastAsia" w:cstheme="minorEastAsia"/>
                <w:spacing w:val="10"/>
                <w:sz w:val="21"/>
                <w:szCs w:val="21"/>
              </w:rPr>
              <w:t>签</w:t>
            </w:r>
            <w:r>
              <w:rPr>
                <w:rFonts w:hint="eastAsia" w:asciiTheme="minorEastAsia" w:hAnsiTheme="minorEastAsia" w:eastAsiaTheme="minorEastAsia" w:cstheme="minorEastAsia"/>
                <w:spacing w:val="10"/>
                <w:sz w:val="21"/>
                <w:szCs w:val="21"/>
                <w:lang w:val="en-US" w:eastAsia="zh-CN"/>
              </w:rPr>
              <w:t>名）</w:t>
            </w:r>
            <w:r>
              <w:rPr>
                <w:rFonts w:hint="eastAsia" w:asciiTheme="minorEastAsia" w:hAnsiTheme="minorEastAsia" w:eastAsiaTheme="minorEastAsia" w:cstheme="minorEastAsia"/>
                <w:spacing w:val="10"/>
                <w:sz w:val="21"/>
                <w:szCs w:val="21"/>
              </w:rPr>
              <w:t>：</w:t>
            </w:r>
          </w:p>
        </w:tc>
        <w:tc>
          <w:tcPr>
            <w:tcW w:w="4182" w:type="dxa"/>
            <w:noWrap w:val="0"/>
            <w:vAlign w:val="top"/>
          </w:tcPr>
          <w:p w14:paraId="2107A7F3">
            <w:pPr>
              <w:keepNext w:val="0"/>
              <w:keepLines w:val="0"/>
              <w:pageBreakBefore w:val="0"/>
              <w:kinsoku/>
              <w:wordWrap/>
              <w:overflowPunct/>
              <w:topLinePunct w:val="0"/>
              <w:autoSpaceDE/>
              <w:autoSpaceDN/>
              <w:bidi w:val="0"/>
              <w:snapToGrid w:val="0"/>
              <w:spacing w:line="520" w:lineRule="atLeast"/>
              <w:textAlignment w:val="auto"/>
              <w:rPr>
                <w:rFonts w:hint="eastAsia" w:asciiTheme="minorEastAsia" w:hAnsiTheme="minorEastAsia" w:eastAsiaTheme="minorEastAsia" w:cstheme="minorEastAsia"/>
                <w:spacing w:val="10"/>
                <w:sz w:val="21"/>
                <w:szCs w:val="21"/>
              </w:rPr>
            </w:pPr>
            <w:r>
              <w:rPr>
                <w:rFonts w:hint="eastAsia" w:asciiTheme="minorEastAsia" w:hAnsiTheme="minorEastAsia" w:eastAsiaTheme="minorEastAsia" w:cstheme="minorEastAsia"/>
                <w:spacing w:val="10"/>
                <w:sz w:val="21"/>
                <w:szCs w:val="21"/>
              </w:rPr>
              <w:t>乙方代表</w:t>
            </w:r>
            <w:r>
              <w:rPr>
                <w:rFonts w:hint="eastAsia" w:asciiTheme="minorEastAsia" w:hAnsiTheme="minorEastAsia" w:eastAsiaTheme="minorEastAsia" w:cstheme="minorEastAsia"/>
                <w:spacing w:val="10"/>
                <w:sz w:val="21"/>
                <w:szCs w:val="21"/>
                <w:lang w:eastAsia="zh-CN"/>
              </w:rPr>
              <w:t>（</w:t>
            </w:r>
            <w:r>
              <w:rPr>
                <w:rFonts w:hint="eastAsia" w:asciiTheme="minorEastAsia" w:hAnsiTheme="minorEastAsia" w:eastAsiaTheme="minorEastAsia" w:cstheme="minorEastAsia"/>
                <w:spacing w:val="10"/>
                <w:sz w:val="21"/>
                <w:szCs w:val="21"/>
              </w:rPr>
              <w:t>签</w:t>
            </w:r>
            <w:r>
              <w:rPr>
                <w:rFonts w:hint="eastAsia" w:asciiTheme="minorEastAsia" w:hAnsiTheme="minorEastAsia" w:eastAsiaTheme="minorEastAsia" w:cstheme="minorEastAsia"/>
                <w:spacing w:val="10"/>
                <w:sz w:val="21"/>
                <w:szCs w:val="21"/>
                <w:lang w:val="en-US" w:eastAsia="zh-CN"/>
              </w:rPr>
              <w:t>名）</w:t>
            </w:r>
            <w:r>
              <w:rPr>
                <w:rFonts w:hint="eastAsia" w:asciiTheme="minorEastAsia" w:hAnsiTheme="minorEastAsia" w:eastAsiaTheme="minorEastAsia" w:cstheme="minorEastAsia"/>
                <w:spacing w:val="10"/>
                <w:sz w:val="21"/>
                <w:szCs w:val="21"/>
              </w:rPr>
              <w:t>：</w:t>
            </w:r>
          </w:p>
        </w:tc>
      </w:tr>
      <w:tr w14:paraId="6A8B67C2">
        <w:tblPrEx>
          <w:tblCellMar>
            <w:top w:w="0" w:type="dxa"/>
            <w:left w:w="108" w:type="dxa"/>
            <w:bottom w:w="0" w:type="dxa"/>
            <w:right w:w="108" w:type="dxa"/>
          </w:tblCellMar>
        </w:tblPrEx>
        <w:trPr>
          <w:trHeight w:val="593" w:hRule="atLeast"/>
        </w:trPr>
        <w:tc>
          <w:tcPr>
            <w:tcW w:w="4536" w:type="dxa"/>
            <w:noWrap w:val="0"/>
            <w:vAlign w:val="top"/>
          </w:tcPr>
          <w:p w14:paraId="540B5BAA">
            <w:pPr>
              <w:keepNext w:val="0"/>
              <w:keepLines w:val="0"/>
              <w:pageBreakBefore w:val="0"/>
              <w:kinsoku/>
              <w:wordWrap/>
              <w:overflowPunct/>
              <w:topLinePunct w:val="0"/>
              <w:autoSpaceDE/>
              <w:autoSpaceDN/>
              <w:bidi w:val="0"/>
              <w:snapToGrid w:val="0"/>
              <w:spacing w:line="520" w:lineRule="atLeast"/>
              <w:textAlignment w:val="auto"/>
              <w:rPr>
                <w:rFonts w:hint="eastAsia" w:asciiTheme="minorEastAsia" w:hAnsiTheme="minorEastAsia" w:eastAsiaTheme="minorEastAsia" w:cstheme="minorEastAsia"/>
                <w:spacing w:val="10"/>
                <w:sz w:val="21"/>
                <w:szCs w:val="21"/>
              </w:rPr>
            </w:pPr>
          </w:p>
        </w:tc>
        <w:tc>
          <w:tcPr>
            <w:tcW w:w="4182" w:type="dxa"/>
            <w:noWrap w:val="0"/>
            <w:vAlign w:val="top"/>
          </w:tcPr>
          <w:p w14:paraId="5513AF2C">
            <w:pPr>
              <w:keepNext w:val="0"/>
              <w:keepLines w:val="0"/>
              <w:pageBreakBefore w:val="0"/>
              <w:kinsoku/>
              <w:wordWrap/>
              <w:overflowPunct/>
              <w:topLinePunct w:val="0"/>
              <w:autoSpaceDE/>
              <w:autoSpaceDN/>
              <w:bidi w:val="0"/>
              <w:snapToGrid w:val="0"/>
              <w:spacing w:line="520" w:lineRule="atLeast"/>
              <w:textAlignment w:val="auto"/>
              <w:rPr>
                <w:rFonts w:hint="eastAsia" w:asciiTheme="minorEastAsia" w:hAnsiTheme="minorEastAsia" w:eastAsiaTheme="minorEastAsia" w:cstheme="minorEastAsia"/>
                <w:spacing w:val="10"/>
                <w:sz w:val="21"/>
                <w:szCs w:val="21"/>
              </w:rPr>
            </w:pPr>
          </w:p>
        </w:tc>
      </w:tr>
      <w:tr w14:paraId="4C6F2798">
        <w:tblPrEx>
          <w:tblCellMar>
            <w:top w:w="0" w:type="dxa"/>
            <w:left w:w="108" w:type="dxa"/>
            <w:bottom w:w="0" w:type="dxa"/>
            <w:right w:w="108" w:type="dxa"/>
          </w:tblCellMar>
        </w:tblPrEx>
        <w:tc>
          <w:tcPr>
            <w:tcW w:w="4536" w:type="dxa"/>
            <w:noWrap w:val="0"/>
            <w:vAlign w:val="top"/>
          </w:tcPr>
          <w:p w14:paraId="15544ED7">
            <w:pPr>
              <w:keepNext w:val="0"/>
              <w:keepLines w:val="0"/>
              <w:pageBreakBefore w:val="0"/>
              <w:kinsoku/>
              <w:wordWrap/>
              <w:overflowPunct/>
              <w:topLinePunct w:val="0"/>
              <w:autoSpaceDE/>
              <w:autoSpaceDN/>
              <w:bidi w:val="0"/>
              <w:snapToGrid w:val="0"/>
              <w:spacing w:line="520" w:lineRule="atLeast"/>
              <w:textAlignment w:val="auto"/>
              <w:rPr>
                <w:rFonts w:hint="eastAsia" w:asciiTheme="minorEastAsia" w:hAnsiTheme="minorEastAsia" w:eastAsiaTheme="minorEastAsia" w:cstheme="minorEastAsia"/>
                <w:spacing w:val="10"/>
                <w:sz w:val="21"/>
                <w:szCs w:val="21"/>
              </w:rPr>
            </w:pPr>
            <w:r>
              <w:rPr>
                <w:rFonts w:hint="eastAsia" w:asciiTheme="minorEastAsia" w:hAnsiTheme="minorEastAsia" w:eastAsiaTheme="minorEastAsia" w:cstheme="minorEastAsia"/>
                <w:spacing w:val="10"/>
                <w:sz w:val="21"/>
                <w:szCs w:val="21"/>
              </w:rPr>
              <w:t>地址：安徽省合肥市政务文化新区习友路988号</w:t>
            </w:r>
          </w:p>
        </w:tc>
        <w:tc>
          <w:tcPr>
            <w:tcW w:w="4182" w:type="dxa"/>
            <w:noWrap w:val="0"/>
            <w:vAlign w:val="top"/>
          </w:tcPr>
          <w:p w14:paraId="402B47FC">
            <w:pPr>
              <w:keepNext w:val="0"/>
              <w:keepLines w:val="0"/>
              <w:pageBreakBefore w:val="0"/>
              <w:kinsoku/>
              <w:wordWrap/>
              <w:overflowPunct/>
              <w:topLinePunct w:val="0"/>
              <w:autoSpaceDE/>
              <w:autoSpaceDN/>
              <w:bidi w:val="0"/>
              <w:snapToGrid w:val="0"/>
              <w:spacing w:line="520" w:lineRule="atLeast"/>
              <w:textAlignment w:val="auto"/>
              <w:rPr>
                <w:rFonts w:hint="eastAsia" w:asciiTheme="minorEastAsia" w:hAnsiTheme="minorEastAsia" w:eastAsiaTheme="minorEastAsia" w:cstheme="minorEastAsia"/>
                <w:spacing w:val="10"/>
                <w:sz w:val="21"/>
                <w:szCs w:val="21"/>
              </w:rPr>
            </w:pPr>
            <w:r>
              <w:rPr>
                <w:rFonts w:hint="eastAsia" w:asciiTheme="minorEastAsia" w:hAnsiTheme="minorEastAsia" w:eastAsiaTheme="minorEastAsia" w:cstheme="minorEastAsia"/>
                <w:spacing w:val="10"/>
                <w:sz w:val="21"/>
                <w:szCs w:val="21"/>
              </w:rPr>
              <w:t>地址：</w:t>
            </w:r>
          </w:p>
        </w:tc>
      </w:tr>
      <w:tr w14:paraId="02CE2FF1">
        <w:tblPrEx>
          <w:tblCellMar>
            <w:top w:w="0" w:type="dxa"/>
            <w:left w:w="108" w:type="dxa"/>
            <w:bottom w:w="0" w:type="dxa"/>
            <w:right w:w="108" w:type="dxa"/>
          </w:tblCellMar>
        </w:tblPrEx>
        <w:tc>
          <w:tcPr>
            <w:tcW w:w="4536" w:type="dxa"/>
            <w:noWrap w:val="0"/>
            <w:vAlign w:val="top"/>
          </w:tcPr>
          <w:p w14:paraId="25D44813">
            <w:pPr>
              <w:keepNext w:val="0"/>
              <w:keepLines w:val="0"/>
              <w:pageBreakBefore w:val="0"/>
              <w:kinsoku/>
              <w:wordWrap/>
              <w:overflowPunct/>
              <w:topLinePunct w:val="0"/>
              <w:autoSpaceDE/>
              <w:autoSpaceDN/>
              <w:bidi w:val="0"/>
              <w:snapToGrid w:val="0"/>
              <w:spacing w:line="520" w:lineRule="atLeast"/>
              <w:textAlignment w:val="auto"/>
              <w:rPr>
                <w:rFonts w:hint="eastAsia" w:asciiTheme="minorEastAsia" w:hAnsiTheme="minorEastAsia" w:eastAsiaTheme="minorEastAsia" w:cstheme="minorEastAsia"/>
                <w:spacing w:val="10"/>
                <w:sz w:val="21"/>
                <w:szCs w:val="21"/>
              </w:rPr>
            </w:pPr>
            <w:r>
              <w:rPr>
                <w:rFonts w:hint="eastAsia" w:asciiTheme="minorEastAsia" w:hAnsiTheme="minorEastAsia" w:eastAsiaTheme="minorEastAsia" w:cstheme="minorEastAsia"/>
                <w:spacing w:val="10"/>
                <w:sz w:val="21"/>
                <w:szCs w:val="21"/>
              </w:rPr>
              <w:t>邮编：</w:t>
            </w:r>
          </w:p>
        </w:tc>
        <w:tc>
          <w:tcPr>
            <w:tcW w:w="4182" w:type="dxa"/>
            <w:noWrap w:val="0"/>
            <w:vAlign w:val="top"/>
          </w:tcPr>
          <w:p w14:paraId="3D8FD1A0">
            <w:pPr>
              <w:keepNext w:val="0"/>
              <w:keepLines w:val="0"/>
              <w:pageBreakBefore w:val="0"/>
              <w:kinsoku/>
              <w:wordWrap/>
              <w:overflowPunct/>
              <w:topLinePunct w:val="0"/>
              <w:autoSpaceDE/>
              <w:autoSpaceDN/>
              <w:bidi w:val="0"/>
              <w:snapToGrid w:val="0"/>
              <w:spacing w:line="520" w:lineRule="atLeast"/>
              <w:textAlignment w:val="auto"/>
              <w:rPr>
                <w:rFonts w:hint="eastAsia" w:asciiTheme="minorEastAsia" w:hAnsiTheme="minorEastAsia" w:eastAsiaTheme="minorEastAsia" w:cstheme="minorEastAsia"/>
                <w:spacing w:val="10"/>
                <w:sz w:val="21"/>
                <w:szCs w:val="21"/>
              </w:rPr>
            </w:pPr>
            <w:r>
              <w:rPr>
                <w:rFonts w:hint="eastAsia" w:asciiTheme="minorEastAsia" w:hAnsiTheme="minorEastAsia" w:eastAsiaTheme="minorEastAsia" w:cstheme="minorEastAsia"/>
                <w:spacing w:val="10"/>
                <w:sz w:val="21"/>
                <w:szCs w:val="21"/>
              </w:rPr>
              <w:t>邮编：</w:t>
            </w:r>
          </w:p>
        </w:tc>
      </w:tr>
      <w:tr w14:paraId="4EEADFE2">
        <w:tblPrEx>
          <w:tblCellMar>
            <w:top w:w="0" w:type="dxa"/>
            <w:left w:w="108" w:type="dxa"/>
            <w:bottom w:w="0" w:type="dxa"/>
            <w:right w:w="108" w:type="dxa"/>
          </w:tblCellMar>
        </w:tblPrEx>
        <w:tc>
          <w:tcPr>
            <w:tcW w:w="4536" w:type="dxa"/>
            <w:noWrap w:val="0"/>
            <w:vAlign w:val="top"/>
          </w:tcPr>
          <w:p w14:paraId="38B47A8A">
            <w:pPr>
              <w:keepNext w:val="0"/>
              <w:keepLines w:val="0"/>
              <w:pageBreakBefore w:val="0"/>
              <w:kinsoku/>
              <w:wordWrap/>
              <w:overflowPunct/>
              <w:topLinePunct w:val="0"/>
              <w:autoSpaceDE/>
              <w:autoSpaceDN/>
              <w:bidi w:val="0"/>
              <w:snapToGrid w:val="0"/>
              <w:spacing w:line="520" w:lineRule="atLeast"/>
              <w:textAlignment w:val="auto"/>
              <w:rPr>
                <w:rFonts w:hint="eastAsia" w:asciiTheme="minorEastAsia" w:hAnsiTheme="minorEastAsia" w:eastAsiaTheme="minorEastAsia" w:cstheme="minorEastAsia"/>
                <w:spacing w:val="10"/>
                <w:sz w:val="21"/>
                <w:szCs w:val="21"/>
              </w:rPr>
            </w:pPr>
            <w:r>
              <w:rPr>
                <w:rFonts w:hint="eastAsia" w:asciiTheme="minorEastAsia" w:hAnsiTheme="minorEastAsia" w:eastAsiaTheme="minorEastAsia" w:cstheme="minorEastAsia"/>
                <w:spacing w:val="10"/>
                <w:sz w:val="21"/>
                <w:szCs w:val="21"/>
              </w:rPr>
              <w:t>联系人：</w:t>
            </w:r>
          </w:p>
        </w:tc>
        <w:tc>
          <w:tcPr>
            <w:tcW w:w="4182" w:type="dxa"/>
            <w:noWrap w:val="0"/>
            <w:vAlign w:val="top"/>
          </w:tcPr>
          <w:p w14:paraId="6683BD6F">
            <w:pPr>
              <w:keepNext w:val="0"/>
              <w:keepLines w:val="0"/>
              <w:pageBreakBefore w:val="0"/>
              <w:kinsoku/>
              <w:wordWrap/>
              <w:overflowPunct/>
              <w:topLinePunct w:val="0"/>
              <w:autoSpaceDE/>
              <w:autoSpaceDN/>
              <w:bidi w:val="0"/>
              <w:snapToGrid w:val="0"/>
              <w:spacing w:line="520" w:lineRule="atLeast"/>
              <w:textAlignment w:val="auto"/>
              <w:rPr>
                <w:rFonts w:hint="eastAsia" w:asciiTheme="minorEastAsia" w:hAnsiTheme="minorEastAsia" w:eastAsiaTheme="minorEastAsia" w:cstheme="minorEastAsia"/>
                <w:spacing w:val="10"/>
                <w:sz w:val="21"/>
                <w:szCs w:val="21"/>
              </w:rPr>
            </w:pPr>
            <w:r>
              <w:rPr>
                <w:rFonts w:hint="eastAsia" w:asciiTheme="minorEastAsia" w:hAnsiTheme="minorEastAsia" w:eastAsiaTheme="minorEastAsia" w:cstheme="minorEastAsia"/>
                <w:spacing w:val="10"/>
                <w:sz w:val="21"/>
                <w:szCs w:val="21"/>
              </w:rPr>
              <w:t>联系人：</w:t>
            </w:r>
          </w:p>
        </w:tc>
      </w:tr>
      <w:tr w14:paraId="1A2CDBD4">
        <w:tblPrEx>
          <w:tblCellMar>
            <w:top w:w="0" w:type="dxa"/>
            <w:left w:w="108" w:type="dxa"/>
            <w:bottom w:w="0" w:type="dxa"/>
            <w:right w:w="108" w:type="dxa"/>
          </w:tblCellMar>
        </w:tblPrEx>
        <w:tc>
          <w:tcPr>
            <w:tcW w:w="4536" w:type="dxa"/>
            <w:noWrap w:val="0"/>
            <w:vAlign w:val="top"/>
          </w:tcPr>
          <w:p w14:paraId="2B460698">
            <w:pPr>
              <w:keepNext w:val="0"/>
              <w:keepLines w:val="0"/>
              <w:pageBreakBefore w:val="0"/>
              <w:kinsoku/>
              <w:wordWrap/>
              <w:overflowPunct/>
              <w:topLinePunct w:val="0"/>
              <w:autoSpaceDE/>
              <w:autoSpaceDN/>
              <w:bidi w:val="0"/>
              <w:snapToGrid w:val="0"/>
              <w:spacing w:line="520" w:lineRule="atLeast"/>
              <w:textAlignment w:val="auto"/>
              <w:rPr>
                <w:rFonts w:hint="eastAsia" w:asciiTheme="minorEastAsia" w:hAnsiTheme="minorEastAsia" w:eastAsiaTheme="minorEastAsia" w:cstheme="minorEastAsia"/>
                <w:spacing w:val="10"/>
                <w:sz w:val="21"/>
                <w:szCs w:val="21"/>
              </w:rPr>
            </w:pPr>
            <w:r>
              <w:rPr>
                <w:rFonts w:hint="eastAsia" w:asciiTheme="minorEastAsia" w:hAnsiTheme="minorEastAsia" w:eastAsiaTheme="minorEastAsia" w:cstheme="minorEastAsia"/>
                <w:spacing w:val="10"/>
                <w:sz w:val="21"/>
                <w:szCs w:val="21"/>
              </w:rPr>
              <w:t>电话：</w:t>
            </w:r>
          </w:p>
        </w:tc>
        <w:tc>
          <w:tcPr>
            <w:tcW w:w="4182" w:type="dxa"/>
            <w:noWrap w:val="0"/>
            <w:vAlign w:val="top"/>
          </w:tcPr>
          <w:p w14:paraId="2B2A7EE0">
            <w:pPr>
              <w:keepNext w:val="0"/>
              <w:keepLines w:val="0"/>
              <w:pageBreakBefore w:val="0"/>
              <w:kinsoku/>
              <w:wordWrap/>
              <w:overflowPunct/>
              <w:topLinePunct w:val="0"/>
              <w:autoSpaceDE/>
              <w:autoSpaceDN/>
              <w:bidi w:val="0"/>
              <w:snapToGrid w:val="0"/>
              <w:spacing w:line="520" w:lineRule="atLeast"/>
              <w:textAlignment w:val="auto"/>
              <w:rPr>
                <w:rFonts w:hint="eastAsia" w:asciiTheme="minorEastAsia" w:hAnsiTheme="minorEastAsia" w:eastAsiaTheme="minorEastAsia" w:cstheme="minorEastAsia"/>
                <w:spacing w:val="10"/>
                <w:sz w:val="21"/>
                <w:szCs w:val="21"/>
              </w:rPr>
            </w:pPr>
            <w:r>
              <w:rPr>
                <w:rFonts w:hint="eastAsia" w:asciiTheme="minorEastAsia" w:hAnsiTheme="minorEastAsia" w:eastAsiaTheme="minorEastAsia" w:cstheme="minorEastAsia"/>
                <w:spacing w:val="10"/>
                <w:sz w:val="21"/>
                <w:szCs w:val="21"/>
              </w:rPr>
              <w:t>电话：</w:t>
            </w:r>
          </w:p>
        </w:tc>
      </w:tr>
      <w:tr w14:paraId="3B59022D">
        <w:tblPrEx>
          <w:tblCellMar>
            <w:top w:w="0" w:type="dxa"/>
            <w:left w:w="108" w:type="dxa"/>
            <w:bottom w:w="0" w:type="dxa"/>
            <w:right w:w="108" w:type="dxa"/>
          </w:tblCellMar>
        </w:tblPrEx>
        <w:tc>
          <w:tcPr>
            <w:tcW w:w="4536" w:type="dxa"/>
            <w:noWrap w:val="0"/>
            <w:vAlign w:val="top"/>
          </w:tcPr>
          <w:p w14:paraId="35B0E782">
            <w:pPr>
              <w:keepNext w:val="0"/>
              <w:keepLines w:val="0"/>
              <w:pageBreakBefore w:val="0"/>
              <w:kinsoku/>
              <w:wordWrap/>
              <w:overflowPunct/>
              <w:topLinePunct w:val="0"/>
              <w:autoSpaceDE/>
              <w:autoSpaceDN/>
              <w:bidi w:val="0"/>
              <w:snapToGrid w:val="0"/>
              <w:spacing w:line="520" w:lineRule="atLeast"/>
              <w:textAlignment w:val="auto"/>
              <w:rPr>
                <w:rFonts w:hint="eastAsia" w:asciiTheme="minorEastAsia" w:hAnsiTheme="minorEastAsia" w:eastAsiaTheme="minorEastAsia" w:cstheme="minorEastAsia"/>
                <w:spacing w:val="10"/>
                <w:sz w:val="21"/>
                <w:szCs w:val="21"/>
              </w:rPr>
            </w:pPr>
            <w:r>
              <w:rPr>
                <w:rFonts w:hint="eastAsia" w:asciiTheme="minorEastAsia" w:hAnsiTheme="minorEastAsia" w:eastAsiaTheme="minorEastAsia" w:cstheme="minorEastAsia"/>
                <w:spacing w:val="10"/>
                <w:sz w:val="21"/>
                <w:szCs w:val="21"/>
              </w:rPr>
              <w:t>传真：</w:t>
            </w:r>
          </w:p>
        </w:tc>
        <w:tc>
          <w:tcPr>
            <w:tcW w:w="4182" w:type="dxa"/>
            <w:noWrap w:val="0"/>
            <w:vAlign w:val="top"/>
          </w:tcPr>
          <w:p w14:paraId="312C5DD2">
            <w:pPr>
              <w:keepNext w:val="0"/>
              <w:keepLines w:val="0"/>
              <w:pageBreakBefore w:val="0"/>
              <w:kinsoku/>
              <w:wordWrap/>
              <w:overflowPunct/>
              <w:topLinePunct w:val="0"/>
              <w:autoSpaceDE/>
              <w:autoSpaceDN/>
              <w:bidi w:val="0"/>
              <w:snapToGrid w:val="0"/>
              <w:spacing w:line="520" w:lineRule="atLeast"/>
              <w:textAlignment w:val="auto"/>
              <w:rPr>
                <w:rFonts w:hint="eastAsia" w:asciiTheme="minorEastAsia" w:hAnsiTheme="minorEastAsia" w:eastAsiaTheme="minorEastAsia" w:cstheme="minorEastAsia"/>
                <w:spacing w:val="10"/>
                <w:sz w:val="21"/>
                <w:szCs w:val="21"/>
              </w:rPr>
            </w:pPr>
            <w:r>
              <w:rPr>
                <w:rFonts w:hint="eastAsia" w:asciiTheme="minorEastAsia" w:hAnsiTheme="minorEastAsia" w:eastAsiaTheme="minorEastAsia" w:cstheme="minorEastAsia"/>
                <w:spacing w:val="10"/>
                <w:sz w:val="21"/>
                <w:szCs w:val="21"/>
              </w:rPr>
              <w:t>传真：</w:t>
            </w:r>
          </w:p>
        </w:tc>
      </w:tr>
    </w:tbl>
    <w:p w14:paraId="230844EB">
      <w:pPr>
        <w:keepNext w:val="0"/>
        <w:keepLines w:val="0"/>
        <w:pageBreakBefore w:val="0"/>
        <w:kinsoku/>
        <w:wordWrap/>
        <w:overflowPunct/>
        <w:topLinePunct w:val="0"/>
        <w:autoSpaceDE/>
        <w:autoSpaceDN/>
        <w:bidi w:val="0"/>
        <w:spacing w:line="520" w:lineRule="atLeast"/>
        <w:textAlignment w:val="auto"/>
        <w:rPr>
          <w:rFonts w:hint="eastAsia" w:asciiTheme="minorEastAsia" w:hAnsiTheme="minorEastAsia" w:eastAsiaTheme="minorEastAsia" w:cstheme="minorEastAsia"/>
          <w:b/>
          <w:sz w:val="28"/>
          <w:szCs w:val="28"/>
        </w:rPr>
      </w:pPr>
    </w:p>
    <w:bookmarkEnd w:id="12"/>
    <w:p w14:paraId="71E8C77F">
      <w:pPr>
        <w:adjustRightInd w:val="0"/>
        <w:snapToGrid w:val="0"/>
        <w:spacing w:line="500" w:lineRule="exact"/>
        <w:rPr>
          <w:rFonts w:hint="eastAsia" w:asciiTheme="minorEastAsia" w:hAnsiTheme="minorEastAsia" w:eastAsiaTheme="minorEastAsia" w:cstheme="minorEastAsia"/>
          <w:color w:val="000000"/>
          <w:szCs w:val="21"/>
        </w:rPr>
      </w:pPr>
    </w:p>
    <w:p w14:paraId="16EAA532">
      <w:pPr>
        <w:spacing w:before="120" w:beforeLines="50" w:after="72" w:afterLines="30" w:line="360" w:lineRule="auto"/>
        <w:rPr>
          <w:rFonts w:hint="eastAsia" w:ascii="宋体" w:hAnsi="宋体" w:cs="宋体"/>
          <w:sz w:val="24"/>
        </w:rPr>
      </w:pPr>
      <w:r>
        <w:rPr>
          <w:rFonts w:hint="eastAsia" w:ascii="宋体" w:hAnsi="宋体" w:cs="宋体"/>
          <w:b/>
          <w:kern w:val="0"/>
          <w:sz w:val="24"/>
        </w:rPr>
        <w:t>备注：本合同的约定如与本项目</w:t>
      </w:r>
      <w:r>
        <w:rPr>
          <w:rFonts w:hint="eastAsia" w:ascii="宋体" w:hAnsi="宋体" w:cs="宋体"/>
          <w:b/>
          <w:kern w:val="0"/>
          <w:sz w:val="24"/>
          <w:lang w:val="en-US" w:eastAsia="zh-CN"/>
        </w:rPr>
        <w:t>询价</w:t>
      </w:r>
      <w:r>
        <w:rPr>
          <w:rFonts w:hint="eastAsia" w:ascii="宋体" w:hAnsi="宋体" w:cs="宋体"/>
          <w:b/>
          <w:kern w:val="0"/>
          <w:sz w:val="24"/>
        </w:rPr>
        <w:t>文件的投标人须知前附表和招标人要求的约定</w:t>
      </w:r>
      <w:r>
        <w:rPr>
          <w:rFonts w:hint="eastAsia" w:cs="宋体"/>
          <w:b/>
          <w:kern w:val="0"/>
          <w:sz w:val="24"/>
        </w:rPr>
        <w:t>有冲突的</w:t>
      </w:r>
      <w:r>
        <w:rPr>
          <w:rFonts w:hint="eastAsia" w:ascii="宋体" w:hAnsi="宋体" w:cs="宋体"/>
          <w:b/>
          <w:kern w:val="0"/>
          <w:sz w:val="24"/>
        </w:rPr>
        <w:t>，以投标人须知前附表和招标人要求的约定为准。</w:t>
      </w:r>
    </w:p>
    <w:p w14:paraId="02DDF829">
      <w:pPr>
        <w:adjustRightInd w:val="0"/>
        <w:snapToGrid w:val="0"/>
        <w:spacing w:line="500" w:lineRule="exact"/>
        <w:rPr>
          <w:rFonts w:hint="eastAsia" w:asciiTheme="minorEastAsia" w:hAnsiTheme="minorEastAsia" w:eastAsiaTheme="minorEastAsia" w:cstheme="minorEastAsia"/>
          <w:color w:val="000000"/>
          <w:szCs w:val="21"/>
        </w:rPr>
      </w:pPr>
    </w:p>
    <w:p w14:paraId="469CE627">
      <w:pPr>
        <w:keepNext w:val="0"/>
        <w:keepLines w:val="0"/>
        <w:pageBreakBefore/>
        <w:widowControl w:val="0"/>
        <w:kinsoku/>
        <w:wordWrap/>
        <w:overflowPunct/>
        <w:topLinePunct w:val="0"/>
        <w:autoSpaceDE/>
        <w:autoSpaceDN/>
        <w:bidi w:val="0"/>
        <w:adjustRightInd/>
        <w:snapToGrid/>
        <w:spacing w:before="313" w:beforeLines="100" w:after="313" w:afterLines="100" w:line="500" w:lineRule="exact"/>
        <w:jc w:val="center"/>
        <w:textAlignment w:val="auto"/>
        <w:outlineLvl w:val="0"/>
        <w:rPr>
          <w:rFonts w:hint="eastAsia" w:asciiTheme="minorEastAsia" w:hAnsiTheme="minorEastAsia" w:eastAsiaTheme="minorEastAsia" w:cstheme="minorEastAsia"/>
          <w:b/>
          <w:bCs w:val="0"/>
          <w:sz w:val="44"/>
          <w:szCs w:val="44"/>
        </w:rPr>
      </w:pPr>
      <w:r>
        <w:rPr>
          <w:rFonts w:hint="eastAsia" w:asciiTheme="minorEastAsia" w:hAnsiTheme="minorEastAsia" w:eastAsiaTheme="minorEastAsia" w:cstheme="minorEastAsia"/>
          <w:b/>
          <w:bCs w:val="0"/>
          <w:sz w:val="44"/>
          <w:szCs w:val="44"/>
        </w:rPr>
        <w:t>廉  政  协  议</w:t>
      </w:r>
    </w:p>
    <w:p w14:paraId="401DBA8C">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p>
    <w:p w14:paraId="72F90D8C">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甲方：</w:t>
      </w:r>
      <w:r>
        <w:rPr>
          <w:rFonts w:hint="eastAsia" w:asciiTheme="minorEastAsia" w:hAnsiTheme="minorEastAsia" w:eastAsiaTheme="minorEastAsia" w:cstheme="minorEastAsia"/>
          <w:sz w:val="21"/>
          <w:szCs w:val="21"/>
          <w:u w:val="single"/>
        </w:rPr>
        <w:t xml:space="preserve">                        </w:t>
      </w:r>
      <w:r>
        <w:rPr>
          <w:rFonts w:hint="eastAsia" w:asciiTheme="minorEastAsia" w:hAnsiTheme="minorEastAsia" w:eastAsiaTheme="minorEastAsia" w:cstheme="minorEastAsia"/>
          <w:sz w:val="21"/>
          <w:szCs w:val="21"/>
        </w:rPr>
        <w:t xml:space="preserve">  </w:t>
      </w:r>
    </w:p>
    <w:p w14:paraId="6F6CA73F">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u w:val="single"/>
        </w:rPr>
      </w:pPr>
      <w:r>
        <w:rPr>
          <w:rFonts w:hint="eastAsia" w:asciiTheme="minorEastAsia" w:hAnsiTheme="minorEastAsia" w:eastAsiaTheme="minorEastAsia" w:cstheme="minorEastAsia"/>
          <w:sz w:val="21"/>
          <w:szCs w:val="21"/>
        </w:rPr>
        <w:t>乙方：</w:t>
      </w:r>
      <w:r>
        <w:rPr>
          <w:rFonts w:hint="eastAsia" w:asciiTheme="minorEastAsia" w:hAnsiTheme="minorEastAsia" w:eastAsiaTheme="minorEastAsia" w:cstheme="minorEastAsia"/>
          <w:sz w:val="21"/>
          <w:szCs w:val="21"/>
          <w:u w:val="single"/>
        </w:rPr>
        <w:t xml:space="preserve">                        </w:t>
      </w:r>
    </w:p>
    <w:p w14:paraId="6CC049DC">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w:t>
      </w:r>
    </w:p>
    <w:p w14:paraId="623257F9">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为进一步完善监督制约机制，防止发生各种牟取不正当利益的违法违纪行为，促进双方诚信经营、廉洁从业，防范商业贿赂，保护国家、集体和当事人的合法权益，根据国家有关法律法规和省、市廉政建设的规定，甲乙双方自愿签订本廉政协议，共同遵照执行。</w:t>
      </w:r>
    </w:p>
    <w:p w14:paraId="6008364B">
      <w:pPr>
        <w:keepNext w:val="0"/>
        <w:keepLines w:val="0"/>
        <w:kinsoku/>
        <w:wordWrap/>
        <w:overflowPunct/>
        <w:topLinePunct w:val="0"/>
        <w:autoSpaceDE/>
        <w:autoSpaceDN/>
        <w:bidi w:val="0"/>
        <w:spacing w:line="500" w:lineRule="exact"/>
        <w:ind w:firstLine="422"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第一条</w:t>
      </w:r>
      <w:r>
        <w:rPr>
          <w:rFonts w:hint="eastAsia" w:asciiTheme="minorEastAsia" w:hAnsiTheme="minorEastAsia" w:eastAsiaTheme="minorEastAsia" w:cstheme="minorEastAsia"/>
          <w:sz w:val="21"/>
          <w:szCs w:val="21"/>
        </w:rPr>
        <w:t xml:space="preserve">  甲乙双方的权利和义务</w:t>
      </w:r>
    </w:p>
    <w:p w14:paraId="142DDAA0">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甲乙双方自觉遵守《中华人民共和国反不正当竞争法》、国家工商行政管理局《关于禁止商业贿赂行为的暂行规定》、国家最高人民检察院、最高人民法院《关于办理受贿刑事案件适用法律若干问题的意见》及相关法律法规和廉政建设的规定。</w:t>
      </w:r>
    </w:p>
    <w:p w14:paraId="291F4DF6">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（二）严格执行合同的要求，自觉履行合同约定的相关义务。</w:t>
      </w:r>
    </w:p>
    <w:p w14:paraId="416455B1">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（三）在业务活动中坚持公开、公正、诚信、透明的原则，不得损害国家、集体利益。</w:t>
      </w:r>
    </w:p>
    <w:p w14:paraId="5E533536">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（四）建立健全廉政制度，开展廉政教育，公布举报电话，监督并认真查处违法违纪行为。</w:t>
      </w:r>
    </w:p>
    <w:p w14:paraId="740C350B">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（五）发现对方在业务活动中有违反廉政规定的行为，应及时提醒对方纠正。情节严重的，应向其上级有关部门举报、建议给予处理，并有权要求告知处理结果。</w:t>
      </w:r>
    </w:p>
    <w:p w14:paraId="38426B7E">
      <w:pPr>
        <w:keepNext w:val="0"/>
        <w:keepLines w:val="0"/>
        <w:kinsoku/>
        <w:wordWrap/>
        <w:overflowPunct/>
        <w:topLinePunct w:val="0"/>
        <w:autoSpaceDE/>
        <w:autoSpaceDN/>
        <w:bidi w:val="0"/>
        <w:spacing w:line="500" w:lineRule="exact"/>
        <w:ind w:firstLine="422"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第二条</w:t>
      </w:r>
      <w:r>
        <w:rPr>
          <w:rFonts w:hint="eastAsia" w:asciiTheme="minorEastAsia" w:hAnsiTheme="minorEastAsia" w:eastAsiaTheme="minorEastAsia" w:cstheme="minorEastAsia"/>
          <w:sz w:val="21"/>
          <w:szCs w:val="21"/>
        </w:rPr>
        <w:t xml:space="preserve">  甲方的义务</w:t>
      </w:r>
    </w:p>
    <w:p w14:paraId="3A5AB6AF">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(一)甲方及其工作人员不得索要或接受乙方的礼金、有价证券和贵重物品，不得在乙方报销任何应由甲方单位或个人支付的费用等。</w:t>
      </w:r>
    </w:p>
    <w:p w14:paraId="66874C99">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二）甲方工作人员不得参加乙方安排的可能影响相关业务公开、公正、公平性的宴请和娱乐活动；不得参与任何形式的赌博，严禁通过赌博方式取得乙方及其工作人员的财物；不得接受乙方提供的通讯工具和高档办公用品等。</w:t>
      </w:r>
    </w:p>
    <w:p w14:paraId="713DFE58">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（三）甲方及其工作人员不得要求或者接受乙方为其住房装修、婚丧嫁娶活动、配偶子女工作安排以及出国出境、旅游等提供方便等。</w:t>
      </w:r>
    </w:p>
    <w:p w14:paraId="7F4AE9BA">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（四）甲方工作人员不得在乙方有关联的企业兼职，不得向乙方介绍家属或者亲友从事与甲方业务有关的经济活动。</w:t>
      </w:r>
    </w:p>
    <w:p w14:paraId="71966FBE">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（五）甲方工作人员不得以明显低于市场的价格向乙方购买房屋、汽车等物品；不得以明显高于市场的价格向乙方出售房屋、汽车等物品；不得以其他交易形式非法收受请托人财物。</w:t>
      </w:r>
    </w:p>
    <w:p w14:paraId="67A9770F">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（六）甲方工作人员不得利用职务之便收受乙方以回扣、手续费、加班费、咨询费、劳务费、协调费等各种名义给予或赠送的钱物。</w:t>
      </w:r>
    </w:p>
    <w:p w14:paraId="639C9838">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（七）甲方工作人员不得接受乙方给予或赠送的干股或红利。</w:t>
      </w:r>
    </w:p>
    <w:p w14:paraId="1BC2C152">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（八）甲方任何人不得以个人的名义向乙方推荐设备、部件等供货商以及其他合作单位。</w:t>
      </w:r>
    </w:p>
    <w:p w14:paraId="5C69D33E">
      <w:pPr>
        <w:keepNext w:val="0"/>
        <w:keepLines w:val="0"/>
        <w:kinsoku/>
        <w:wordWrap/>
        <w:overflowPunct/>
        <w:topLinePunct w:val="0"/>
        <w:autoSpaceDE/>
        <w:autoSpaceDN/>
        <w:bidi w:val="0"/>
        <w:spacing w:line="500" w:lineRule="exact"/>
        <w:ind w:firstLine="422"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 xml:space="preserve">第三条  </w:t>
      </w:r>
      <w:r>
        <w:rPr>
          <w:rFonts w:hint="eastAsia" w:asciiTheme="minorEastAsia" w:hAnsiTheme="minorEastAsia" w:eastAsiaTheme="minorEastAsia" w:cstheme="minorEastAsia"/>
          <w:sz w:val="21"/>
          <w:szCs w:val="21"/>
        </w:rPr>
        <w:t>乙方的义务</w:t>
      </w:r>
    </w:p>
    <w:p w14:paraId="564F64A8">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(一)乙方不得以任何理由向甲方及其工作人员行贿或馈赠礼金、有价证券、贵重礼品。</w:t>
      </w:r>
    </w:p>
    <w:p w14:paraId="0D90BC42">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（二)乙方不得以任何名义为甲方及其工作人员报销应由甲方单位或个人支付的任何费用。</w:t>
      </w:r>
    </w:p>
    <w:p w14:paraId="08A1512E">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(三)乙方不得以任何理由安排甲方工作人员参加可能影响相关业务公开、公正、公平性的宴请及娱乐活动。</w:t>
      </w:r>
    </w:p>
    <w:p w14:paraId="27EDACA4">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（四）乙方不得为甲方单位和个人购置或提供通讯工具和高档办公用品等物品，也不得为甲方提供与工作无关的房屋、汽车等。</w:t>
      </w:r>
    </w:p>
    <w:p w14:paraId="562FF7DC">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（五）乙方不得与甲方工作人员就合同中的质量、数量、价格、工程量、验收等条款进行私下商谈或者达成默契。</w:t>
      </w:r>
    </w:p>
    <w:p w14:paraId="05FC1849">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（六）乙方不得以回扣、手续费、加班费、咨询费、劳务费等各种名义向甲方工作人员给予或赠送钱物。</w:t>
      </w:r>
    </w:p>
    <w:p w14:paraId="4B4CFCB0">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（七）乙方不得向甲方工作人员提供干股或红利。</w:t>
      </w:r>
    </w:p>
    <w:p w14:paraId="2DE657B8">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（八）乙方须按文旅博览集团纪委要求开展相关工作。</w:t>
      </w:r>
    </w:p>
    <w:p w14:paraId="09985B69">
      <w:pPr>
        <w:keepNext w:val="0"/>
        <w:keepLines w:val="0"/>
        <w:kinsoku/>
        <w:wordWrap/>
        <w:overflowPunct/>
        <w:topLinePunct w:val="0"/>
        <w:autoSpaceDE/>
        <w:autoSpaceDN/>
        <w:bidi w:val="0"/>
        <w:spacing w:line="500" w:lineRule="exact"/>
        <w:ind w:firstLine="422"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第四条</w:t>
      </w:r>
      <w:r>
        <w:rPr>
          <w:rFonts w:hint="eastAsia" w:asciiTheme="minorEastAsia" w:hAnsiTheme="minorEastAsia" w:eastAsiaTheme="minorEastAsia" w:cstheme="minorEastAsia"/>
          <w:sz w:val="21"/>
          <w:szCs w:val="21"/>
        </w:rPr>
        <w:t xml:space="preserve">  违约责任</w:t>
      </w:r>
    </w:p>
    <w:p w14:paraId="359F72D2">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（一）甲方及其工作人员违反本协议第一、二条规定。甲方按管理权限，对相关责任人依据有关规定给予党纪、政纪处分或组织处理；涉嫌犯罪的，移交司法机关追究刑事责任。</w:t>
      </w:r>
    </w:p>
    <w:p w14:paraId="047F3876">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投诉联系部门：</w:t>
      </w:r>
      <w:r>
        <w:rPr>
          <w:rFonts w:hint="eastAsia" w:asciiTheme="minorEastAsia" w:hAnsiTheme="minorEastAsia" w:eastAsiaTheme="minorEastAsia" w:cstheme="minorEastAsia"/>
          <w:sz w:val="21"/>
          <w:szCs w:val="21"/>
          <w:u w:val="single"/>
          <w:lang w:val="en-US" w:eastAsia="zh-CN"/>
        </w:rPr>
        <w:t xml:space="preserve">        </w:t>
      </w:r>
      <w:r>
        <w:rPr>
          <w:rFonts w:hint="eastAsia" w:asciiTheme="minorEastAsia" w:hAnsiTheme="minorEastAsia" w:eastAsiaTheme="minorEastAsia" w:cstheme="minorEastAsia"/>
          <w:sz w:val="21"/>
          <w:szCs w:val="21"/>
          <w:u w:val="none"/>
          <w:lang w:val="en-US" w:eastAsia="zh-CN"/>
        </w:rPr>
        <w:t>，</w:t>
      </w:r>
      <w:r>
        <w:rPr>
          <w:rFonts w:hint="eastAsia" w:asciiTheme="minorEastAsia" w:hAnsiTheme="minorEastAsia" w:eastAsiaTheme="minorEastAsia" w:cstheme="minorEastAsia"/>
          <w:sz w:val="21"/>
          <w:szCs w:val="21"/>
        </w:rPr>
        <w:t>联系电话</w:t>
      </w:r>
      <w:r>
        <w:rPr>
          <w:rFonts w:hint="eastAsia" w:asciiTheme="minorEastAsia" w:hAnsiTheme="minorEastAsia" w:eastAsiaTheme="minorEastAsia" w:cstheme="minorEastAsia"/>
          <w:sz w:val="21"/>
          <w:szCs w:val="21"/>
          <w:u w:val="single"/>
          <w:lang w:val="en-US" w:eastAsia="zh-CN"/>
        </w:rPr>
        <w:t xml:space="preserve">        </w:t>
      </w:r>
      <w:r>
        <w:rPr>
          <w:rFonts w:hint="eastAsia" w:asciiTheme="minorEastAsia" w:hAnsiTheme="minorEastAsia" w:eastAsiaTheme="minorEastAsia" w:cstheme="minorEastAsia"/>
          <w:sz w:val="21"/>
          <w:szCs w:val="21"/>
        </w:rPr>
        <w:t>，举报邮箱：</w:t>
      </w:r>
      <w:r>
        <w:rPr>
          <w:rFonts w:hint="eastAsia" w:asciiTheme="minorEastAsia" w:hAnsiTheme="minorEastAsia" w:eastAsiaTheme="minorEastAsia" w:cstheme="minorEastAsia"/>
          <w:sz w:val="21"/>
          <w:szCs w:val="21"/>
          <w:u w:val="single"/>
          <w:lang w:val="en-US" w:eastAsia="zh-CN"/>
        </w:rPr>
        <w:t xml:space="preserve">        </w:t>
      </w:r>
      <w:r>
        <w:rPr>
          <w:rFonts w:hint="eastAsia" w:asciiTheme="minorEastAsia" w:hAnsiTheme="minorEastAsia" w:eastAsiaTheme="minorEastAsia" w:cstheme="minorEastAsia"/>
          <w:sz w:val="21"/>
          <w:szCs w:val="21"/>
          <w:u w:val="none"/>
          <w:lang w:val="en-US" w:eastAsia="zh-CN"/>
        </w:rPr>
        <w:t>。</w:t>
      </w:r>
    </w:p>
    <w:p w14:paraId="28424CF0">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（二）乙方及其工作人员违反本协议第一、三条规定。根据具体情节和造成的后果，甲方有权依据法律法规及合同约定对乙方采取以下一种或多种处理办法：</w:t>
      </w:r>
    </w:p>
    <w:p w14:paraId="12FB69F6">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1．向建设行政部门、招投标管理部门及乙方上级主管部门通报，建议作出相应处理； </w:t>
      </w:r>
    </w:p>
    <w:p w14:paraId="5C634F82">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2．甲方有权扣除乙方履约保证金全部或部分（视情节严重性而定）；</w:t>
      </w:r>
    </w:p>
    <w:p w14:paraId="02F5699B">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3．乙方一定期限内（6个月至5年，具体由甲方根据情况而定）不得参与甲方作为发包人（业主）的工程项目投标和物资采购等相关业务；</w:t>
      </w:r>
    </w:p>
    <w:p w14:paraId="2B4BFA0A">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4．终止或解除双方已签订的包括（不限于）本合同在内的所有合同。</w:t>
      </w:r>
    </w:p>
    <w:p w14:paraId="43B4E6E1">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甲方作出的处理意见，乙方应无条件接受并承担给甲方造成的损失，全额返还通过不正当手段从甲方获取的非法所得，并承担相应的法律责任。</w:t>
      </w:r>
    </w:p>
    <w:p w14:paraId="3DC57C6A">
      <w:pPr>
        <w:keepNext w:val="0"/>
        <w:keepLines w:val="0"/>
        <w:kinsoku/>
        <w:wordWrap/>
        <w:overflowPunct/>
        <w:topLinePunct w:val="0"/>
        <w:autoSpaceDE/>
        <w:autoSpaceDN/>
        <w:bidi w:val="0"/>
        <w:spacing w:line="500" w:lineRule="exact"/>
        <w:ind w:firstLine="422"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第五条</w:t>
      </w:r>
      <w:r>
        <w:rPr>
          <w:rFonts w:hint="eastAsia" w:asciiTheme="minorEastAsia" w:hAnsiTheme="minorEastAsia" w:eastAsiaTheme="minorEastAsia" w:cstheme="minorEastAsia"/>
          <w:sz w:val="21"/>
          <w:szCs w:val="21"/>
        </w:rPr>
        <w:t xml:space="preserve">  双方约定</w:t>
      </w:r>
    </w:p>
    <w:p w14:paraId="0AAB8746">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本协议由双方或双方上级单位负责监督。可由甲方或甲方上级单位的纪检监察部门约请乙方或乙方上级单位的纪检监察部门对本协议履行情况进行检查，提出在本协议规定范围内的裁定意见。</w:t>
      </w:r>
    </w:p>
    <w:p w14:paraId="2CA09A20">
      <w:pPr>
        <w:keepNext w:val="0"/>
        <w:keepLines w:val="0"/>
        <w:kinsoku/>
        <w:wordWrap/>
        <w:overflowPunct/>
        <w:topLinePunct w:val="0"/>
        <w:autoSpaceDE/>
        <w:autoSpaceDN/>
        <w:bidi w:val="0"/>
        <w:spacing w:line="500" w:lineRule="exact"/>
        <w:ind w:firstLine="422"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 xml:space="preserve">第六条  </w:t>
      </w:r>
      <w:r>
        <w:rPr>
          <w:rFonts w:hint="eastAsia" w:asciiTheme="minorEastAsia" w:hAnsiTheme="minorEastAsia" w:eastAsiaTheme="minorEastAsia" w:cstheme="minorEastAsia"/>
          <w:sz w:val="21"/>
          <w:szCs w:val="21"/>
        </w:rPr>
        <w:t xml:space="preserve">本协议有效期为甲乙双方签署之日起至合同终止。  </w:t>
      </w:r>
    </w:p>
    <w:p w14:paraId="080C0B5A">
      <w:pPr>
        <w:keepNext w:val="0"/>
        <w:keepLines w:val="0"/>
        <w:kinsoku/>
        <w:wordWrap/>
        <w:overflowPunct/>
        <w:topLinePunct w:val="0"/>
        <w:autoSpaceDE/>
        <w:autoSpaceDN/>
        <w:bidi w:val="0"/>
        <w:spacing w:line="500" w:lineRule="exact"/>
        <w:ind w:firstLine="422"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 xml:space="preserve">第七条 </w:t>
      </w:r>
      <w:r>
        <w:rPr>
          <w:rFonts w:hint="eastAsia" w:asciiTheme="minorEastAsia" w:hAnsiTheme="minorEastAsia" w:eastAsiaTheme="minorEastAsia" w:cstheme="minorEastAsia"/>
          <w:sz w:val="21"/>
          <w:szCs w:val="21"/>
        </w:rPr>
        <w:t xml:space="preserve"> 本协议作为合同的附件，与本合同具有同等法律效力。</w:t>
      </w:r>
    </w:p>
    <w:p w14:paraId="2D696B1F">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甲方（盖章）：                   乙方（盖章）：</w:t>
      </w:r>
    </w:p>
    <w:p w14:paraId="1886B2DB">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法定代表人或</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t xml:space="preserve">                    法定代表人或</w:t>
      </w:r>
    </w:p>
    <w:p w14:paraId="4EA59034">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授权代表：   (职务)               授权代表：  （职务）</w:t>
      </w:r>
    </w:p>
    <w:p w14:paraId="4A964D49">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姓名     </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t xml:space="preserve">                       姓名</w:t>
      </w:r>
    </w:p>
    <w:p w14:paraId="56B2B5E1">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签字：                            签字：</w:t>
      </w:r>
    </w:p>
    <w:p w14:paraId="542B358E">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廉政监督联系人                    廉政监督联系人</w:t>
      </w:r>
    </w:p>
    <w:p w14:paraId="437DC8DC">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姓名                              姓名</w:t>
      </w:r>
    </w:p>
    <w:p w14:paraId="0C466301">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签字：                            签字：</w:t>
      </w:r>
    </w:p>
    <w:p w14:paraId="20C37214">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电话：          </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rPr>
        <w:t xml:space="preserve">   电话：</w:t>
      </w:r>
    </w:p>
    <w:p w14:paraId="6CB96352">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地址：                            地址：         </w:t>
      </w:r>
    </w:p>
    <w:p w14:paraId="1C62704A">
      <w:pPr>
        <w:keepNext w:val="0"/>
        <w:keepLines w:val="0"/>
        <w:pageBreakBefore w:val="0"/>
        <w:widowControl w:val="0"/>
        <w:kinsoku/>
        <w:wordWrap/>
        <w:overflowPunct/>
        <w:topLinePunct w:val="0"/>
        <w:autoSpaceDE/>
        <w:autoSpaceDN/>
        <w:bidi w:val="0"/>
        <w:adjustRightInd/>
        <w:snapToGrid/>
        <w:spacing w:line="420" w:lineRule="exact"/>
        <w:textAlignment w:val="auto"/>
        <w:rPr>
          <w:rFonts w:ascii="Times New Roman" w:hAnsi="Times New Roman" w:cs="Times New Roman" w:eastAsiaTheme="minorEastAsia"/>
          <w:sz w:val="24"/>
        </w:rPr>
      </w:pPr>
      <w:r>
        <w:rPr>
          <w:rFonts w:hint="eastAsia" w:asciiTheme="minorEastAsia" w:hAnsiTheme="minorEastAsia" w:eastAsiaTheme="minorEastAsia" w:cstheme="minorEastAsia"/>
          <w:sz w:val="21"/>
          <w:szCs w:val="21"/>
        </w:rPr>
        <w:t>日期：                            日期：</w:t>
      </w:r>
    </w:p>
    <w:p w14:paraId="711EFCE2">
      <w:pPr>
        <w:widowControl/>
        <w:jc w:val="left"/>
        <w:rPr>
          <w:rFonts w:ascii="Times New Roman" w:hAnsi="Times New Roman" w:cs="Times New Roman" w:eastAsiaTheme="minorEastAsia"/>
          <w:sz w:val="24"/>
        </w:rPr>
      </w:pPr>
      <w:r>
        <w:rPr>
          <w:rFonts w:ascii="Times New Roman" w:hAnsi="Times New Roman" w:cs="Times New Roman" w:eastAsiaTheme="minorEastAsia"/>
          <w:sz w:val="24"/>
        </w:rPr>
        <w:br w:type="page"/>
      </w:r>
    </w:p>
    <w:p w14:paraId="706A0814">
      <w:pPr>
        <w:spacing w:line="360" w:lineRule="auto"/>
        <w:jc w:val="center"/>
        <w:outlineLvl w:val="1"/>
        <w:rPr>
          <w:rFonts w:ascii="Times New Roman" w:hAnsi="Times New Roman" w:cs="Times New Roman" w:eastAsiaTheme="minorEastAsia"/>
          <w:b/>
          <w:sz w:val="28"/>
        </w:rPr>
      </w:pPr>
      <w:bookmarkStart w:id="13" w:name="_Toc22226"/>
      <w:r>
        <w:rPr>
          <w:rFonts w:ascii="Times New Roman" w:hAnsi="Times New Roman" w:cs="Times New Roman" w:eastAsiaTheme="minorEastAsia"/>
          <w:b/>
          <w:sz w:val="28"/>
        </w:rPr>
        <w:t>第六章  投标文件格式</w:t>
      </w:r>
      <w:bookmarkEnd w:id="13"/>
    </w:p>
    <w:p w14:paraId="68B6FC6C">
      <w:pPr>
        <w:spacing w:line="500" w:lineRule="exact"/>
        <w:jc w:val="center"/>
        <w:rPr>
          <w:rFonts w:ascii="Times New Roman" w:hAnsi="Times New Roman" w:cs="Times New Roman" w:eastAsiaTheme="minorEastAsia"/>
          <w:b/>
          <w:sz w:val="32"/>
        </w:rPr>
      </w:pPr>
      <w:r>
        <w:rPr>
          <w:rFonts w:hint="eastAsia" w:ascii="Times New Roman" w:hAnsi="Times New Roman" w:cs="Times New Roman"/>
          <w:b/>
          <w:sz w:val="32"/>
          <w:lang w:eastAsia="zh-CN"/>
        </w:rPr>
        <w:t>文旅集团2024年下半年集中处置资产评估</w:t>
      </w:r>
    </w:p>
    <w:p w14:paraId="2EFF1108">
      <w:pPr>
        <w:spacing w:line="900" w:lineRule="exact"/>
        <w:jc w:val="center"/>
        <w:rPr>
          <w:rFonts w:ascii="Times New Roman" w:hAnsi="Times New Roman" w:cs="Times New Roman" w:eastAsiaTheme="minorEastAsia"/>
          <w:b/>
          <w:sz w:val="72"/>
        </w:rPr>
      </w:pPr>
    </w:p>
    <w:p w14:paraId="2290C68C">
      <w:pPr>
        <w:spacing w:line="900" w:lineRule="exact"/>
        <w:jc w:val="center"/>
        <w:rPr>
          <w:rFonts w:ascii="Times New Roman" w:hAnsi="Times New Roman" w:cs="Times New Roman" w:eastAsiaTheme="minorEastAsia"/>
          <w:b/>
          <w:sz w:val="72"/>
        </w:rPr>
      </w:pPr>
      <w:r>
        <w:rPr>
          <w:rFonts w:ascii="Times New Roman" w:hAnsi="Times New Roman" w:cs="Times New Roman" w:eastAsiaTheme="minorEastAsia"/>
          <w:b/>
          <w:sz w:val="72"/>
        </w:rPr>
        <w:t>投</w:t>
      </w:r>
    </w:p>
    <w:p w14:paraId="201439B5">
      <w:pPr>
        <w:spacing w:line="900" w:lineRule="exact"/>
        <w:jc w:val="center"/>
        <w:rPr>
          <w:rFonts w:ascii="Times New Roman" w:hAnsi="Times New Roman" w:cs="Times New Roman" w:eastAsiaTheme="minorEastAsia"/>
          <w:b/>
          <w:sz w:val="72"/>
        </w:rPr>
      </w:pPr>
    </w:p>
    <w:p w14:paraId="5D4ADD3F">
      <w:pPr>
        <w:spacing w:line="900" w:lineRule="exact"/>
        <w:jc w:val="center"/>
        <w:rPr>
          <w:rFonts w:ascii="Times New Roman" w:hAnsi="Times New Roman" w:cs="Times New Roman" w:eastAsiaTheme="minorEastAsia"/>
          <w:b/>
          <w:sz w:val="72"/>
        </w:rPr>
      </w:pPr>
      <w:r>
        <w:rPr>
          <w:rFonts w:ascii="Times New Roman" w:hAnsi="Times New Roman" w:cs="Times New Roman" w:eastAsiaTheme="minorEastAsia"/>
          <w:b/>
          <w:sz w:val="72"/>
        </w:rPr>
        <w:t>标</w:t>
      </w:r>
    </w:p>
    <w:p w14:paraId="3130C878">
      <w:pPr>
        <w:spacing w:line="900" w:lineRule="exact"/>
        <w:jc w:val="center"/>
        <w:rPr>
          <w:rFonts w:ascii="Times New Roman" w:hAnsi="Times New Roman" w:cs="Times New Roman" w:eastAsiaTheme="minorEastAsia"/>
          <w:b/>
          <w:sz w:val="72"/>
        </w:rPr>
      </w:pPr>
    </w:p>
    <w:p w14:paraId="4EED430C">
      <w:pPr>
        <w:spacing w:line="900" w:lineRule="exact"/>
        <w:jc w:val="center"/>
        <w:rPr>
          <w:rFonts w:ascii="Times New Roman" w:hAnsi="Times New Roman" w:cs="Times New Roman" w:eastAsiaTheme="minorEastAsia"/>
          <w:b/>
          <w:sz w:val="72"/>
        </w:rPr>
      </w:pPr>
      <w:r>
        <w:rPr>
          <w:rFonts w:ascii="Times New Roman" w:hAnsi="Times New Roman" w:cs="Times New Roman" w:eastAsiaTheme="minorEastAsia"/>
          <w:b/>
          <w:sz w:val="72"/>
        </w:rPr>
        <w:t>文</w:t>
      </w:r>
    </w:p>
    <w:p w14:paraId="0CDD5034">
      <w:pPr>
        <w:spacing w:line="900" w:lineRule="exact"/>
        <w:jc w:val="center"/>
        <w:rPr>
          <w:rFonts w:ascii="Times New Roman" w:hAnsi="Times New Roman" w:cs="Times New Roman" w:eastAsiaTheme="minorEastAsia"/>
          <w:b/>
          <w:sz w:val="72"/>
        </w:rPr>
      </w:pPr>
    </w:p>
    <w:p w14:paraId="22346641">
      <w:pPr>
        <w:jc w:val="center"/>
        <w:rPr>
          <w:rFonts w:ascii="Times New Roman" w:hAnsi="Times New Roman" w:cs="Times New Roman" w:eastAsiaTheme="minorEastAsia"/>
          <w:b/>
          <w:sz w:val="72"/>
        </w:rPr>
      </w:pPr>
      <w:r>
        <w:rPr>
          <w:rFonts w:ascii="Times New Roman" w:hAnsi="Times New Roman" w:cs="Times New Roman" w:eastAsiaTheme="minorEastAsia"/>
          <w:b/>
          <w:sz w:val="72"/>
        </w:rPr>
        <w:t>件</w:t>
      </w:r>
    </w:p>
    <w:p w14:paraId="28C4FBBD">
      <w:pPr>
        <w:spacing w:after="156" w:afterLines="50"/>
        <w:jc w:val="center"/>
        <w:rPr>
          <w:rFonts w:ascii="Times New Roman" w:hAnsi="Times New Roman" w:cs="Times New Roman" w:eastAsiaTheme="minorEastAsia"/>
          <w:b/>
          <w:sz w:val="72"/>
        </w:rPr>
      </w:pPr>
    </w:p>
    <w:p w14:paraId="78E912F2">
      <w:pPr>
        <w:spacing w:after="156" w:afterLines="50" w:line="500" w:lineRule="exact"/>
        <w:jc w:val="center"/>
        <w:rPr>
          <w:rFonts w:ascii="Times New Roman" w:hAnsi="Times New Roman" w:cs="Times New Roman" w:eastAsiaTheme="minorEastAsia"/>
          <w:b/>
          <w:sz w:val="28"/>
          <w:szCs w:val="28"/>
        </w:rPr>
      </w:pPr>
    </w:p>
    <w:p w14:paraId="5C970AFA">
      <w:pPr>
        <w:spacing w:after="156" w:afterLines="50" w:line="500" w:lineRule="exact"/>
        <w:jc w:val="center"/>
        <w:rPr>
          <w:rFonts w:ascii="Times New Roman" w:hAnsi="Times New Roman" w:cs="Times New Roman" w:eastAsiaTheme="minorEastAsia"/>
          <w:b/>
          <w:sz w:val="72"/>
        </w:rPr>
      </w:pPr>
    </w:p>
    <w:p w14:paraId="3F883B46">
      <w:pPr>
        <w:spacing w:after="156" w:afterLines="50" w:line="500" w:lineRule="exact"/>
        <w:ind w:firstLine="2570" w:firstLineChars="800"/>
        <w:rPr>
          <w:rFonts w:ascii="Times New Roman" w:hAnsi="Times New Roman" w:cs="Times New Roman" w:eastAsiaTheme="minorEastAsia"/>
          <w:b/>
          <w:sz w:val="32"/>
          <w:u w:val="single"/>
        </w:rPr>
      </w:pPr>
      <w:r>
        <w:rPr>
          <w:rFonts w:ascii="Times New Roman" w:hAnsi="Times New Roman" w:cs="Times New Roman" w:eastAsiaTheme="minorEastAsia"/>
          <w:b/>
          <w:sz w:val="32"/>
        </w:rPr>
        <w:t>投标人：</w:t>
      </w:r>
      <w:r>
        <w:rPr>
          <w:rFonts w:ascii="Times New Roman" w:hAnsi="Times New Roman" w:cs="Times New Roman" w:eastAsiaTheme="minorEastAsia"/>
          <w:b/>
          <w:sz w:val="32"/>
          <w:u w:val="single"/>
        </w:rPr>
        <w:t xml:space="preserve">               </w:t>
      </w:r>
    </w:p>
    <w:p w14:paraId="46B6AAFC">
      <w:pPr>
        <w:pStyle w:val="2"/>
        <w:ind w:firstLine="2570" w:firstLineChars="800"/>
        <w:rPr>
          <w:rFonts w:hint="default" w:eastAsiaTheme="minorEastAsia"/>
          <w:lang w:val="en-US" w:eastAsia="zh-CN"/>
        </w:rPr>
      </w:pPr>
      <w:r>
        <w:rPr>
          <w:rFonts w:hint="eastAsia" w:ascii="Times New Roman" w:hAnsi="Times New Roman" w:cs="Times New Roman"/>
          <w:b/>
          <w:bCs w:val="0"/>
          <w:sz w:val="32"/>
          <w:u w:val="none"/>
          <w:lang w:val="en-US" w:eastAsia="zh-CN"/>
        </w:rPr>
        <w:t>项目编号：</w:t>
      </w:r>
      <w:r>
        <w:rPr>
          <w:rFonts w:hint="eastAsia" w:ascii="Times New Roman" w:hAnsi="Times New Roman" w:cs="Times New Roman"/>
          <w:b/>
          <w:sz w:val="32"/>
          <w:u w:val="single"/>
          <w:lang w:val="en-US" w:eastAsia="zh-CN"/>
        </w:rPr>
        <w:t xml:space="preserve"> 2024WLBLZB00050号 </w:t>
      </w:r>
    </w:p>
    <w:p w14:paraId="2D2B97F0">
      <w:pPr>
        <w:spacing w:after="156" w:afterLines="50" w:line="500" w:lineRule="exact"/>
        <w:jc w:val="center"/>
        <w:rPr>
          <w:rFonts w:ascii="Times New Roman" w:hAnsi="Times New Roman" w:cs="Times New Roman" w:eastAsiaTheme="minorEastAsia"/>
          <w:b/>
          <w:sz w:val="32"/>
        </w:rPr>
      </w:pPr>
      <w:r>
        <w:rPr>
          <w:rFonts w:ascii="Times New Roman" w:hAnsi="Times New Roman" w:cs="Times New Roman" w:eastAsiaTheme="minorEastAsia"/>
          <w:b/>
          <w:sz w:val="32"/>
          <w:u w:val="single"/>
        </w:rPr>
        <w:t xml:space="preserve">    </w:t>
      </w:r>
      <w:r>
        <w:rPr>
          <w:rFonts w:ascii="Times New Roman" w:hAnsi="Times New Roman" w:cs="Times New Roman" w:eastAsiaTheme="minorEastAsia"/>
          <w:b/>
          <w:sz w:val="32"/>
        </w:rPr>
        <w:t>年</w:t>
      </w:r>
      <w:r>
        <w:rPr>
          <w:rFonts w:ascii="Times New Roman" w:hAnsi="Times New Roman" w:cs="Times New Roman" w:eastAsiaTheme="minorEastAsia"/>
          <w:b/>
          <w:sz w:val="32"/>
          <w:u w:val="single"/>
        </w:rPr>
        <w:t xml:space="preserve">  </w:t>
      </w:r>
      <w:r>
        <w:rPr>
          <w:rFonts w:ascii="Times New Roman" w:hAnsi="Times New Roman" w:cs="Times New Roman" w:eastAsiaTheme="minorEastAsia"/>
          <w:b/>
          <w:sz w:val="32"/>
        </w:rPr>
        <w:t>月</w:t>
      </w:r>
      <w:r>
        <w:rPr>
          <w:rFonts w:ascii="Times New Roman" w:hAnsi="Times New Roman" w:cs="Times New Roman" w:eastAsiaTheme="minorEastAsia"/>
          <w:b/>
          <w:sz w:val="32"/>
          <w:u w:val="single"/>
        </w:rPr>
        <w:t xml:space="preserve">  </w:t>
      </w:r>
      <w:r>
        <w:rPr>
          <w:rFonts w:ascii="Times New Roman" w:hAnsi="Times New Roman" w:cs="Times New Roman" w:eastAsiaTheme="minorEastAsia"/>
          <w:b/>
          <w:sz w:val="32"/>
        </w:rPr>
        <w:t>日</w:t>
      </w:r>
    </w:p>
    <w:p w14:paraId="5E5B7380">
      <w:pPr>
        <w:widowControl/>
        <w:jc w:val="left"/>
        <w:rPr>
          <w:rFonts w:ascii="Times New Roman" w:hAnsi="Times New Roman" w:cs="Times New Roman" w:eastAsiaTheme="minorEastAsia"/>
          <w:b/>
          <w:sz w:val="28"/>
        </w:rPr>
      </w:pPr>
      <w:r>
        <w:rPr>
          <w:rFonts w:ascii="Times New Roman" w:hAnsi="Times New Roman" w:cs="Times New Roman" w:eastAsiaTheme="minorEastAsia"/>
          <w:b/>
          <w:sz w:val="28"/>
        </w:rPr>
        <w:br w:type="page"/>
      </w:r>
    </w:p>
    <w:p w14:paraId="6F7CA787">
      <w:pPr>
        <w:numPr>
          <w:ilvl w:val="0"/>
          <w:numId w:val="2"/>
        </w:numPr>
        <w:spacing w:line="360" w:lineRule="auto"/>
        <w:jc w:val="center"/>
        <w:outlineLvl w:val="2"/>
        <w:rPr>
          <w:rFonts w:ascii="Times New Roman" w:hAnsi="Times New Roman" w:cs="Times New Roman" w:eastAsiaTheme="minorEastAsia"/>
          <w:b/>
          <w:sz w:val="24"/>
        </w:rPr>
      </w:pPr>
      <w:bookmarkStart w:id="14" w:name="_Hlk23205287"/>
      <w:r>
        <w:rPr>
          <w:rFonts w:ascii="Times New Roman" w:hAnsi="Times New Roman" w:cs="Times New Roman" w:eastAsiaTheme="minorEastAsia"/>
          <w:b/>
          <w:sz w:val="24"/>
        </w:rPr>
        <w:t>报价表</w:t>
      </w:r>
    </w:p>
    <w:p w14:paraId="6D053732">
      <w:pPr>
        <w:snapToGrid w:val="0"/>
        <w:spacing w:line="360" w:lineRule="auto"/>
        <w:jc w:val="left"/>
        <w:rPr>
          <w:rFonts w:ascii="Times New Roman" w:hAnsi="Times New Roman" w:cs="Times New Roman" w:eastAsiaTheme="minorEastAsia"/>
          <w:b/>
          <w:sz w:val="24"/>
          <w:szCs w:val="24"/>
        </w:rPr>
      </w:pPr>
      <w:r>
        <w:rPr>
          <w:rFonts w:ascii="Times New Roman" w:hAnsi="Times New Roman" w:cs="Times New Roman" w:eastAsiaTheme="minorEastAsia"/>
          <w:b/>
          <w:sz w:val="24"/>
          <w:szCs w:val="24"/>
        </w:rPr>
        <w:t>项目名称：</w:t>
      </w:r>
      <w:r>
        <w:rPr>
          <w:rFonts w:hint="eastAsia" w:ascii="Times New Roman" w:hAnsi="Times New Roman" w:cs="Times New Roman"/>
          <w:b/>
          <w:sz w:val="24"/>
          <w:szCs w:val="24"/>
          <w:u w:val="single"/>
          <w:lang w:eastAsia="zh-CN"/>
        </w:rPr>
        <w:t xml:space="preserve"> 文旅集团2024年下半年集中处置资产评估</w:t>
      </w:r>
      <w:r>
        <w:rPr>
          <w:rFonts w:ascii="Times New Roman" w:hAnsi="Times New Roman" w:cs="Times New Roman" w:eastAsiaTheme="minorEastAsia"/>
          <w:b/>
          <w:sz w:val="24"/>
          <w:szCs w:val="24"/>
          <w:u w:val="single"/>
        </w:rPr>
        <w:t xml:space="preserve"> </w:t>
      </w:r>
    </w:p>
    <w:p w14:paraId="5DBB7503">
      <w:pPr>
        <w:snapToGrid w:val="0"/>
        <w:spacing w:after="156" w:afterLines="50" w:line="360" w:lineRule="auto"/>
        <w:jc w:val="left"/>
        <w:rPr>
          <w:rFonts w:ascii="Times New Roman" w:hAnsi="Times New Roman" w:cs="Times New Roman" w:eastAsiaTheme="minorEastAsia"/>
          <w:b/>
          <w:bCs/>
          <w:sz w:val="24"/>
          <w:szCs w:val="24"/>
          <w:u w:val="single"/>
        </w:rPr>
      </w:pPr>
      <w:r>
        <w:rPr>
          <w:rFonts w:ascii="Times New Roman" w:hAnsi="Times New Roman" w:cs="Times New Roman" w:eastAsiaTheme="minorEastAsia"/>
          <w:b/>
          <w:sz w:val="24"/>
          <w:szCs w:val="24"/>
        </w:rPr>
        <w:t>项目编号：</w:t>
      </w:r>
      <w:r>
        <w:rPr>
          <w:rFonts w:ascii="Times New Roman" w:hAnsi="Times New Roman" w:cs="Times New Roman" w:eastAsiaTheme="minorEastAsia"/>
          <w:b/>
          <w:sz w:val="24"/>
          <w:szCs w:val="24"/>
          <w:u w:val="single"/>
        </w:rPr>
        <w:t xml:space="preserve"> </w:t>
      </w:r>
      <w:r>
        <w:rPr>
          <w:rFonts w:hint="eastAsia" w:ascii="Times New Roman" w:hAnsi="Times New Roman" w:cs="Times New Roman" w:eastAsiaTheme="minorEastAsia"/>
          <w:b/>
          <w:sz w:val="24"/>
          <w:szCs w:val="24"/>
          <w:u w:val="single"/>
        </w:rPr>
        <w:t>2024WLBLZB000</w:t>
      </w:r>
      <w:r>
        <w:rPr>
          <w:rFonts w:hint="eastAsia" w:ascii="Times New Roman" w:hAnsi="Times New Roman" w:cs="Times New Roman"/>
          <w:b/>
          <w:sz w:val="24"/>
          <w:szCs w:val="24"/>
          <w:u w:val="single"/>
          <w:lang w:val="en-US" w:eastAsia="zh-CN"/>
        </w:rPr>
        <w:t>50</w:t>
      </w:r>
      <w:r>
        <w:rPr>
          <w:rFonts w:hint="eastAsia" w:ascii="Times New Roman" w:hAnsi="Times New Roman" w:cs="Times New Roman" w:eastAsiaTheme="minorEastAsia"/>
          <w:b/>
          <w:sz w:val="24"/>
          <w:szCs w:val="24"/>
          <w:u w:val="single"/>
        </w:rPr>
        <w:t>号</w:t>
      </w:r>
      <w:r>
        <w:rPr>
          <w:rFonts w:ascii="Times New Roman" w:hAnsi="Times New Roman" w:cs="Times New Roman" w:eastAsiaTheme="minorEastAsia"/>
          <w:b/>
          <w:sz w:val="24"/>
          <w:szCs w:val="24"/>
          <w:u w:val="single"/>
        </w:rPr>
        <w:t xml:space="preserve"> </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58"/>
        <w:gridCol w:w="6064"/>
      </w:tblGrid>
      <w:tr w14:paraId="63B3C4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442" w:type="pct"/>
            <w:tcBorders>
              <w:top w:val="single" w:color="auto" w:sz="4" w:space="0"/>
              <w:left w:val="single" w:color="auto" w:sz="4" w:space="0"/>
              <w:bottom w:val="single" w:color="auto" w:sz="4" w:space="0"/>
              <w:right w:val="single" w:color="auto" w:sz="4" w:space="0"/>
            </w:tcBorders>
            <w:vAlign w:val="center"/>
          </w:tcPr>
          <w:p w14:paraId="30F109DD">
            <w:pPr>
              <w:jc w:val="center"/>
              <w:rPr>
                <w:rFonts w:ascii="Times New Roman" w:hAnsi="Times New Roman" w:cs="Times New Roman" w:eastAsiaTheme="minorEastAsia"/>
                <w:b/>
                <w:sz w:val="24"/>
                <w:szCs w:val="24"/>
              </w:rPr>
            </w:pPr>
            <w:r>
              <w:rPr>
                <w:rFonts w:ascii="Times New Roman" w:hAnsi="Times New Roman" w:cs="Times New Roman" w:eastAsiaTheme="minorEastAsia"/>
                <w:b/>
                <w:sz w:val="24"/>
                <w:szCs w:val="24"/>
              </w:rPr>
              <w:t>投标人名称</w:t>
            </w:r>
          </w:p>
        </w:tc>
        <w:tc>
          <w:tcPr>
            <w:tcW w:w="3557" w:type="pct"/>
            <w:tcBorders>
              <w:left w:val="single" w:color="auto" w:sz="4" w:space="0"/>
            </w:tcBorders>
          </w:tcPr>
          <w:p w14:paraId="5918D70B">
            <w:pPr>
              <w:rPr>
                <w:rFonts w:ascii="Times New Roman" w:hAnsi="Times New Roman" w:cs="Times New Roman" w:eastAsiaTheme="minorEastAsia"/>
                <w:b/>
                <w:sz w:val="24"/>
                <w:szCs w:val="24"/>
              </w:rPr>
            </w:pPr>
          </w:p>
        </w:tc>
      </w:tr>
      <w:tr w14:paraId="38B366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442" w:type="pct"/>
            <w:tcBorders>
              <w:top w:val="single" w:color="auto" w:sz="4" w:space="0"/>
              <w:left w:val="single" w:color="auto" w:sz="4" w:space="0"/>
              <w:bottom w:val="single" w:color="auto" w:sz="4" w:space="0"/>
              <w:right w:val="single" w:color="auto" w:sz="4" w:space="0"/>
            </w:tcBorders>
            <w:vAlign w:val="center"/>
          </w:tcPr>
          <w:p w14:paraId="403ADD61">
            <w:pPr>
              <w:jc w:val="center"/>
              <w:rPr>
                <w:rFonts w:ascii="Times New Roman" w:hAnsi="Times New Roman" w:cs="Times New Roman" w:eastAsiaTheme="minorEastAsia"/>
                <w:b/>
                <w:sz w:val="24"/>
                <w:szCs w:val="24"/>
              </w:rPr>
            </w:pPr>
            <w:r>
              <w:rPr>
                <w:rFonts w:hint="eastAsia" w:ascii="Times New Roman" w:hAnsi="Times New Roman" w:cs="Times New Roman" w:eastAsiaTheme="minorEastAsia"/>
                <w:b/>
                <w:sz w:val="24"/>
                <w:szCs w:val="24"/>
              </w:rPr>
              <w:t>报价</w:t>
            </w:r>
            <w:r>
              <w:rPr>
                <w:rFonts w:ascii="Times New Roman" w:hAnsi="Times New Roman" w:cs="Times New Roman" w:eastAsiaTheme="minorEastAsia"/>
                <w:b/>
                <w:sz w:val="24"/>
                <w:szCs w:val="24"/>
              </w:rPr>
              <w:t>范围</w:t>
            </w:r>
          </w:p>
        </w:tc>
        <w:tc>
          <w:tcPr>
            <w:tcW w:w="3557" w:type="pct"/>
            <w:tcBorders>
              <w:left w:val="single" w:color="auto" w:sz="4" w:space="0"/>
            </w:tcBorders>
            <w:vAlign w:val="center"/>
          </w:tcPr>
          <w:p w14:paraId="366424F6">
            <w:pPr>
              <w:widowControl/>
              <w:rPr>
                <w:rFonts w:ascii="Times New Roman" w:hAnsi="Times New Roman" w:cs="Times New Roman" w:eastAsiaTheme="minorEastAsia"/>
                <w:b/>
                <w:sz w:val="24"/>
                <w:szCs w:val="24"/>
              </w:rPr>
            </w:pPr>
            <w:r>
              <w:rPr>
                <w:rFonts w:ascii="Times New Roman" w:hAnsi="Times New Roman" w:cs="Times New Roman" w:eastAsiaTheme="minorEastAsia"/>
                <w:sz w:val="24"/>
                <w:szCs w:val="28"/>
              </w:rPr>
              <w:t>全部</w:t>
            </w:r>
          </w:p>
        </w:tc>
      </w:tr>
      <w:tr w14:paraId="370E4F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jc w:val="center"/>
        </w:trPr>
        <w:tc>
          <w:tcPr>
            <w:tcW w:w="1442" w:type="pct"/>
            <w:tcBorders>
              <w:top w:val="single" w:color="auto" w:sz="4" w:space="0"/>
            </w:tcBorders>
            <w:vAlign w:val="center"/>
          </w:tcPr>
          <w:p w14:paraId="2892E7EA">
            <w:pPr>
              <w:spacing w:line="360" w:lineRule="auto"/>
              <w:jc w:val="center"/>
              <w:rPr>
                <w:rFonts w:ascii="Times New Roman" w:hAnsi="Times New Roman" w:eastAsia="宋体" w:cs="Times New Roman"/>
                <w:b/>
                <w:sz w:val="24"/>
              </w:rPr>
            </w:pPr>
            <w:r>
              <w:rPr>
                <w:rFonts w:ascii="Times New Roman" w:hAnsi="Times New Roman" w:eastAsia="宋体" w:cs="Times New Roman"/>
                <w:b/>
                <w:sz w:val="24"/>
              </w:rPr>
              <w:t>报价</w:t>
            </w:r>
          </w:p>
          <w:p w14:paraId="60895C5E">
            <w:pPr>
              <w:jc w:val="center"/>
              <w:rPr>
                <w:rFonts w:ascii="Times New Roman" w:hAnsi="Times New Roman" w:cs="Times New Roman" w:eastAsiaTheme="minorEastAsia"/>
                <w:b/>
                <w:sz w:val="24"/>
                <w:szCs w:val="24"/>
              </w:rPr>
            </w:pPr>
            <w:r>
              <w:rPr>
                <w:rFonts w:ascii="Times New Roman" w:hAnsi="Times New Roman" w:cs="Times New Roman" w:eastAsiaTheme="minorEastAsia"/>
                <w:b/>
                <w:sz w:val="24"/>
                <w:szCs w:val="24"/>
              </w:rPr>
              <w:t>（详见备注说明）</w:t>
            </w:r>
          </w:p>
        </w:tc>
        <w:tc>
          <w:tcPr>
            <w:tcW w:w="3557" w:type="pct"/>
            <w:vAlign w:val="center"/>
          </w:tcPr>
          <w:p w14:paraId="60797F55">
            <w:pPr>
              <w:snapToGrid w:val="0"/>
              <w:rPr>
                <w:rFonts w:ascii="Times New Roman" w:hAnsi="Times New Roman" w:cs="Times New Roman" w:eastAsiaTheme="minorEastAsia"/>
                <w:sz w:val="24"/>
                <w:szCs w:val="24"/>
              </w:rPr>
            </w:pPr>
          </w:p>
          <w:p w14:paraId="16604BF1">
            <w:pPr>
              <w:snapToGrid w:val="0"/>
              <w:rPr>
                <w:rFonts w:ascii="Times New Roman" w:hAnsi="Times New Roman" w:cs="Times New Roman" w:eastAsiaTheme="minorEastAsia"/>
                <w:bCs/>
                <w:sz w:val="24"/>
                <w:szCs w:val="24"/>
                <w:u w:val="single"/>
              </w:rPr>
            </w:pPr>
            <w:r>
              <w:rPr>
                <w:rFonts w:ascii="Times New Roman" w:hAnsi="Times New Roman" w:cs="Times New Roman" w:eastAsiaTheme="minorEastAsia"/>
                <w:bCs/>
                <w:sz w:val="24"/>
                <w:szCs w:val="24"/>
              </w:rPr>
              <w:t>人民币大写：</w:t>
            </w:r>
            <w:r>
              <w:rPr>
                <w:rFonts w:ascii="Times New Roman" w:hAnsi="Times New Roman" w:cs="Times New Roman" w:eastAsiaTheme="minorEastAsia"/>
                <w:bCs/>
                <w:sz w:val="24"/>
                <w:szCs w:val="24"/>
                <w:u w:val="single"/>
              </w:rPr>
              <w:t xml:space="preserve">                        </w:t>
            </w:r>
          </w:p>
          <w:p w14:paraId="660DD9BF">
            <w:pPr>
              <w:pStyle w:val="2"/>
              <w:rPr>
                <w:rFonts w:hint="default" w:ascii="Times New Roman" w:hAnsi="Times New Roman" w:cs="Times New Roman" w:eastAsiaTheme="minorEastAsia"/>
                <w:b w:val="0"/>
                <w:bCs/>
                <w:sz w:val="24"/>
                <w:lang w:val="en-US" w:eastAsia="zh-CN"/>
              </w:rPr>
            </w:pPr>
            <w:r>
              <w:rPr>
                <w:rFonts w:hint="default" w:ascii="Times New Roman" w:hAnsi="Times New Roman" w:cs="Times New Roman"/>
                <w:b w:val="0"/>
                <w:bCs/>
                <w:sz w:val="24"/>
                <w:szCs w:val="24"/>
                <w:u w:val="none"/>
                <w:lang w:val="en-US" w:eastAsia="zh-CN"/>
              </w:rPr>
              <w:t>人民币小写：</w:t>
            </w:r>
            <w:r>
              <w:rPr>
                <w:rFonts w:ascii="Times New Roman" w:hAnsi="Times New Roman" w:cs="Times New Roman" w:eastAsiaTheme="minorEastAsia"/>
                <w:b w:val="0"/>
                <w:bCs/>
                <w:sz w:val="24"/>
                <w:szCs w:val="24"/>
                <w:u w:val="single"/>
              </w:rPr>
              <w:t xml:space="preserve">           </w:t>
            </w:r>
            <w:r>
              <w:rPr>
                <w:rFonts w:hint="default" w:ascii="Times New Roman" w:hAnsi="Times New Roman" w:cs="Times New Roman"/>
                <w:b w:val="0"/>
                <w:bCs/>
                <w:sz w:val="24"/>
                <w:szCs w:val="24"/>
                <w:u w:val="single"/>
                <w:lang w:val="en-US" w:eastAsia="zh-CN"/>
              </w:rPr>
              <w:t xml:space="preserve">             </w:t>
            </w:r>
            <w:r>
              <w:rPr>
                <w:rFonts w:ascii="Times New Roman" w:hAnsi="Times New Roman" w:cs="Times New Roman" w:eastAsiaTheme="minorEastAsia"/>
                <w:b w:val="0"/>
                <w:bCs/>
                <w:sz w:val="24"/>
                <w:szCs w:val="24"/>
                <w:u w:val="none"/>
              </w:rPr>
              <w:t xml:space="preserve">                     </w:t>
            </w:r>
          </w:p>
          <w:p w14:paraId="43AD58F7">
            <w:pPr>
              <w:snapToGrid w:val="0"/>
              <w:rPr>
                <w:rFonts w:ascii="Times New Roman" w:hAnsi="Times New Roman" w:cs="Times New Roman" w:eastAsiaTheme="minorEastAsia"/>
                <w:b/>
                <w:sz w:val="24"/>
                <w:szCs w:val="24"/>
              </w:rPr>
            </w:pPr>
          </w:p>
        </w:tc>
      </w:tr>
      <w:tr w14:paraId="2915B1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1442" w:type="pct"/>
            <w:tcBorders>
              <w:top w:val="single" w:color="auto" w:sz="4" w:space="0"/>
            </w:tcBorders>
            <w:vAlign w:val="center"/>
          </w:tcPr>
          <w:p w14:paraId="0F070097">
            <w:pPr>
              <w:snapToGrid w:val="0"/>
              <w:jc w:val="center"/>
              <w:rPr>
                <w:rFonts w:ascii="Times New Roman" w:hAnsi="Times New Roman" w:cs="Times New Roman" w:eastAsiaTheme="minorEastAsia"/>
                <w:b/>
                <w:strike/>
                <w:sz w:val="24"/>
                <w:szCs w:val="24"/>
                <w:highlight w:val="yellow"/>
              </w:rPr>
            </w:pPr>
            <w:r>
              <w:rPr>
                <w:rFonts w:hint="eastAsia" w:ascii="Times New Roman" w:hAnsi="Times New Roman" w:cs="Times New Roman"/>
                <w:b/>
                <w:sz w:val="24"/>
                <w:szCs w:val="24"/>
                <w:lang w:val="en-US" w:eastAsia="zh-CN"/>
              </w:rPr>
              <w:t>服务期限</w:t>
            </w:r>
          </w:p>
        </w:tc>
        <w:tc>
          <w:tcPr>
            <w:tcW w:w="3557" w:type="pct"/>
            <w:vAlign w:val="center"/>
          </w:tcPr>
          <w:p w14:paraId="54E29788">
            <w:pPr>
              <w:snapToGrid w:val="0"/>
              <w:rPr>
                <w:rFonts w:ascii="Times New Roman" w:hAnsi="Times New Roman" w:cs="Times New Roman" w:eastAsiaTheme="minorEastAsia"/>
                <w:b/>
                <w:strike/>
                <w:sz w:val="24"/>
                <w:szCs w:val="24"/>
                <w:highlight w:val="yellow"/>
              </w:rPr>
            </w:pPr>
          </w:p>
        </w:tc>
      </w:tr>
      <w:tr w14:paraId="2E5D82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2" w:hRule="atLeast"/>
          <w:jc w:val="center"/>
        </w:trPr>
        <w:tc>
          <w:tcPr>
            <w:tcW w:w="1442" w:type="pct"/>
            <w:vAlign w:val="center"/>
          </w:tcPr>
          <w:p w14:paraId="61F1A8FD">
            <w:pPr>
              <w:jc w:val="center"/>
              <w:rPr>
                <w:rFonts w:ascii="Times New Roman" w:hAnsi="Times New Roman" w:cs="Times New Roman" w:eastAsiaTheme="minorEastAsia"/>
                <w:b/>
                <w:sz w:val="24"/>
                <w:szCs w:val="24"/>
              </w:rPr>
            </w:pPr>
            <w:r>
              <w:rPr>
                <w:rFonts w:ascii="Times New Roman" w:hAnsi="Times New Roman" w:cs="Times New Roman" w:eastAsiaTheme="minorEastAsia"/>
                <w:b/>
                <w:sz w:val="24"/>
                <w:szCs w:val="24"/>
              </w:rPr>
              <w:t>备注说明</w:t>
            </w:r>
          </w:p>
        </w:tc>
        <w:tc>
          <w:tcPr>
            <w:tcW w:w="3557" w:type="pct"/>
          </w:tcPr>
          <w:p w14:paraId="7175725A">
            <w:pPr>
              <w:rPr>
                <w:rFonts w:ascii="Times New Roman" w:hAnsi="Times New Roman" w:cs="Times New Roman" w:eastAsiaTheme="minorEastAsia"/>
                <w:b/>
                <w:sz w:val="24"/>
                <w:szCs w:val="24"/>
              </w:rPr>
            </w:pPr>
          </w:p>
        </w:tc>
      </w:tr>
    </w:tbl>
    <w:p w14:paraId="006C5993">
      <w:pPr>
        <w:spacing w:line="440" w:lineRule="exact"/>
        <w:ind w:firstLine="4800" w:firstLineChars="2000"/>
        <w:rPr>
          <w:rFonts w:ascii="Times New Roman" w:hAnsi="Times New Roman" w:eastAsia="宋体" w:cs="Times New Roman"/>
          <w:sz w:val="24"/>
          <w:szCs w:val="24"/>
          <w:u w:val="single"/>
        </w:rPr>
      </w:pPr>
      <w:r>
        <w:rPr>
          <w:rFonts w:ascii="Times New Roman" w:hAnsi="Times New Roman" w:eastAsia="宋体" w:cs="Times New Roman"/>
          <w:sz w:val="24"/>
          <w:szCs w:val="24"/>
        </w:rPr>
        <w:t>投标人公章：</w:t>
      </w:r>
      <w:r>
        <w:rPr>
          <w:rFonts w:ascii="Times New Roman" w:hAnsi="Times New Roman" w:eastAsia="宋体" w:cs="Times New Roman"/>
          <w:sz w:val="24"/>
          <w:szCs w:val="24"/>
          <w:u w:val="single"/>
        </w:rPr>
        <w:t xml:space="preserve">       </w:t>
      </w:r>
      <w:r>
        <w:rPr>
          <w:rFonts w:hint="eastAsia" w:ascii="Times New Roman" w:hAnsi="Times New Roman" w:eastAsia="宋体" w:cs="Times New Roman"/>
          <w:sz w:val="24"/>
          <w:szCs w:val="24"/>
          <w:u w:val="single"/>
        </w:rPr>
        <w:t xml:space="preserve">    </w:t>
      </w:r>
      <w:r>
        <w:rPr>
          <w:rFonts w:ascii="Times New Roman" w:hAnsi="Times New Roman" w:eastAsia="宋体" w:cs="Times New Roman"/>
          <w:sz w:val="24"/>
          <w:szCs w:val="24"/>
          <w:u w:val="single"/>
        </w:rPr>
        <w:t xml:space="preserve">      </w:t>
      </w:r>
    </w:p>
    <w:p w14:paraId="1041238C">
      <w:pPr>
        <w:spacing w:line="440" w:lineRule="exact"/>
        <w:ind w:firstLine="4800" w:firstLineChars="2000"/>
        <w:rPr>
          <w:rFonts w:ascii="Times New Roman" w:hAnsi="Times New Roman" w:eastAsia="宋体" w:cs="Times New Roman"/>
          <w:sz w:val="24"/>
          <w:szCs w:val="24"/>
          <w:u w:val="single"/>
        </w:rPr>
      </w:pPr>
      <w:r>
        <w:rPr>
          <w:rFonts w:ascii="Times New Roman" w:hAnsi="Times New Roman" w:eastAsia="宋体" w:cs="Times New Roman"/>
          <w:sz w:val="24"/>
          <w:szCs w:val="24"/>
        </w:rPr>
        <w:t>日      期：</w:t>
      </w:r>
      <w:r>
        <w:rPr>
          <w:rFonts w:ascii="Times New Roman" w:hAnsi="Times New Roman" w:eastAsia="宋体" w:cs="Times New Roman"/>
          <w:sz w:val="24"/>
          <w:szCs w:val="24"/>
          <w:u w:val="single"/>
        </w:rPr>
        <w:t xml:space="preserve">       </w:t>
      </w:r>
      <w:r>
        <w:rPr>
          <w:rFonts w:hint="eastAsia" w:ascii="Times New Roman" w:hAnsi="Times New Roman" w:eastAsia="宋体" w:cs="Times New Roman"/>
          <w:sz w:val="24"/>
          <w:szCs w:val="24"/>
          <w:u w:val="single"/>
          <w:lang w:val="en-US" w:eastAsia="zh-CN"/>
        </w:rPr>
        <w:t xml:space="preserve">    </w:t>
      </w:r>
      <w:r>
        <w:rPr>
          <w:rFonts w:ascii="Times New Roman" w:hAnsi="Times New Roman" w:eastAsia="宋体" w:cs="Times New Roman"/>
          <w:sz w:val="24"/>
          <w:szCs w:val="24"/>
          <w:u w:val="single"/>
        </w:rPr>
        <w:t xml:space="preserve">      </w:t>
      </w:r>
    </w:p>
    <w:p w14:paraId="22770BBF">
      <w:pPr>
        <w:adjustRightInd w:val="0"/>
        <w:snapToGrid w:val="0"/>
        <w:spacing w:line="360" w:lineRule="auto"/>
        <w:rPr>
          <w:rFonts w:ascii="Times New Roman" w:hAnsi="Times New Roman" w:cs="Times New Roman" w:eastAsiaTheme="minorEastAsia"/>
          <w:b/>
          <w:bCs/>
          <w:sz w:val="24"/>
          <w:szCs w:val="24"/>
        </w:rPr>
      </w:pPr>
      <w:r>
        <w:rPr>
          <w:rFonts w:ascii="Times New Roman" w:hAnsi="Times New Roman" w:cs="Times New Roman" w:eastAsiaTheme="minorEastAsia"/>
          <w:b/>
          <w:bCs/>
          <w:sz w:val="24"/>
          <w:szCs w:val="24"/>
        </w:rPr>
        <w:t>注：</w:t>
      </w:r>
    </w:p>
    <w:p w14:paraId="315293EF">
      <w:pPr>
        <w:adjustRightInd w:val="0"/>
        <w:snapToGrid w:val="0"/>
        <w:spacing w:line="360" w:lineRule="auto"/>
        <w:ind w:firstLine="482" w:firstLineChars="200"/>
        <w:rPr>
          <w:rFonts w:ascii="Times New Roman" w:hAnsi="Times New Roman" w:cs="Times New Roman" w:eastAsiaTheme="minorEastAsia"/>
          <w:sz w:val="24"/>
          <w:szCs w:val="24"/>
        </w:rPr>
      </w:pPr>
      <w:r>
        <w:rPr>
          <w:rFonts w:ascii="Times New Roman" w:hAnsi="Times New Roman" w:cs="Times New Roman" w:eastAsiaTheme="minorEastAsia"/>
          <w:b/>
          <w:bCs/>
          <w:sz w:val="24"/>
          <w:szCs w:val="24"/>
        </w:rPr>
        <w:t>1.本表内容根据</w:t>
      </w:r>
      <w:r>
        <w:rPr>
          <w:rFonts w:hint="eastAsia" w:ascii="Times New Roman" w:hAnsi="Times New Roman" w:cs="Times New Roman" w:eastAsiaTheme="minorEastAsia"/>
          <w:b/>
          <w:bCs/>
          <w:sz w:val="24"/>
          <w:szCs w:val="24"/>
        </w:rPr>
        <w:t>询价</w:t>
      </w:r>
      <w:r>
        <w:rPr>
          <w:rFonts w:ascii="Times New Roman" w:hAnsi="Times New Roman" w:cs="Times New Roman" w:eastAsiaTheme="minorEastAsia"/>
          <w:b/>
          <w:bCs/>
          <w:sz w:val="24"/>
          <w:szCs w:val="24"/>
        </w:rPr>
        <w:t>文件要求包括了</w:t>
      </w:r>
      <w:r>
        <w:rPr>
          <w:rFonts w:hint="eastAsia" w:ascii="Times New Roman" w:hAnsi="Times New Roman" w:cs="Times New Roman" w:eastAsiaTheme="minorEastAsia"/>
          <w:b/>
          <w:bCs/>
          <w:sz w:val="24"/>
          <w:szCs w:val="24"/>
        </w:rPr>
        <w:t>询价</w:t>
      </w:r>
      <w:r>
        <w:rPr>
          <w:rFonts w:ascii="Times New Roman" w:hAnsi="Times New Roman" w:cs="Times New Roman" w:eastAsiaTheme="minorEastAsia"/>
          <w:b/>
          <w:bCs/>
          <w:sz w:val="24"/>
          <w:szCs w:val="24"/>
        </w:rPr>
        <w:t>文件要求提供的全部内容的所有费用。</w:t>
      </w:r>
    </w:p>
    <w:p w14:paraId="5605F9F9">
      <w:pPr>
        <w:adjustRightInd w:val="0"/>
        <w:snapToGrid w:val="0"/>
        <w:spacing w:line="360" w:lineRule="auto"/>
        <w:ind w:firstLine="482" w:firstLineChars="200"/>
        <w:jc w:val="left"/>
        <w:rPr>
          <w:rFonts w:ascii="Times New Roman" w:hAnsi="Times New Roman" w:eastAsia="宋体" w:cs="Times New Roman"/>
          <w:b/>
          <w:sz w:val="24"/>
        </w:rPr>
      </w:pPr>
      <w:r>
        <w:rPr>
          <w:rFonts w:ascii="Times New Roman" w:hAnsi="Times New Roman" w:cs="Times New Roman" w:eastAsiaTheme="minorEastAsia"/>
          <w:b/>
          <w:bCs/>
          <w:sz w:val="24"/>
          <w:szCs w:val="24"/>
        </w:rPr>
        <w:t>2.特殊事项在备注</w:t>
      </w:r>
      <w:r>
        <w:rPr>
          <w:rFonts w:ascii="Times New Roman" w:hAnsi="Times New Roman" w:cs="Times New Roman" w:eastAsiaTheme="minorEastAsia"/>
          <w:b/>
          <w:sz w:val="24"/>
          <w:szCs w:val="24"/>
        </w:rPr>
        <w:t>说明</w:t>
      </w:r>
      <w:r>
        <w:rPr>
          <w:rFonts w:ascii="Times New Roman" w:hAnsi="Times New Roman" w:cs="Times New Roman" w:eastAsiaTheme="minorEastAsia"/>
          <w:b/>
          <w:bCs/>
          <w:sz w:val="24"/>
          <w:szCs w:val="24"/>
        </w:rPr>
        <w:t>中注明。</w:t>
      </w:r>
    </w:p>
    <w:p w14:paraId="4DA85D78">
      <w:pPr>
        <w:adjustRightInd w:val="0"/>
        <w:snapToGrid w:val="0"/>
        <w:spacing w:line="360" w:lineRule="auto"/>
        <w:ind w:firstLine="482" w:firstLineChars="200"/>
        <w:jc w:val="left"/>
        <w:rPr>
          <w:rFonts w:ascii="Times New Roman" w:hAnsi="Times New Roman" w:eastAsia="宋体" w:cs="Times New Roman"/>
          <w:b/>
          <w:sz w:val="24"/>
        </w:rPr>
      </w:pPr>
    </w:p>
    <w:p w14:paraId="0A9093E1">
      <w:pPr>
        <w:adjustRightInd w:val="0"/>
        <w:snapToGrid w:val="0"/>
        <w:spacing w:line="360" w:lineRule="auto"/>
        <w:ind w:firstLine="482" w:firstLineChars="200"/>
        <w:jc w:val="left"/>
        <w:rPr>
          <w:rFonts w:ascii="Times New Roman" w:hAnsi="Times New Roman" w:eastAsia="宋体" w:cs="Times New Roman"/>
          <w:b/>
          <w:sz w:val="24"/>
        </w:rPr>
      </w:pPr>
    </w:p>
    <w:p w14:paraId="596EFF3D">
      <w:pPr>
        <w:adjustRightInd w:val="0"/>
        <w:snapToGrid w:val="0"/>
        <w:spacing w:line="360" w:lineRule="auto"/>
        <w:ind w:firstLine="482" w:firstLineChars="200"/>
        <w:jc w:val="left"/>
        <w:rPr>
          <w:rFonts w:ascii="Times New Roman" w:hAnsi="Times New Roman" w:eastAsia="宋体" w:cs="Times New Roman"/>
          <w:b/>
          <w:sz w:val="24"/>
        </w:rPr>
      </w:pPr>
    </w:p>
    <w:p w14:paraId="17103302">
      <w:pPr>
        <w:adjustRightInd w:val="0"/>
        <w:snapToGrid w:val="0"/>
        <w:spacing w:line="360" w:lineRule="auto"/>
        <w:ind w:firstLine="482" w:firstLineChars="200"/>
        <w:jc w:val="left"/>
        <w:rPr>
          <w:rFonts w:ascii="Times New Roman" w:hAnsi="Times New Roman" w:eastAsia="宋体" w:cs="Times New Roman"/>
          <w:b/>
          <w:sz w:val="24"/>
        </w:rPr>
      </w:pPr>
    </w:p>
    <w:p w14:paraId="67788FFC">
      <w:pPr>
        <w:adjustRightInd w:val="0"/>
        <w:snapToGrid w:val="0"/>
        <w:spacing w:line="360" w:lineRule="auto"/>
        <w:ind w:firstLine="482" w:firstLineChars="200"/>
        <w:jc w:val="left"/>
        <w:rPr>
          <w:rFonts w:ascii="Times New Roman" w:hAnsi="Times New Roman" w:eastAsia="宋体" w:cs="Times New Roman"/>
          <w:b/>
          <w:sz w:val="24"/>
        </w:rPr>
      </w:pPr>
    </w:p>
    <w:p w14:paraId="40838765">
      <w:pPr>
        <w:adjustRightInd w:val="0"/>
        <w:snapToGrid w:val="0"/>
        <w:spacing w:line="360" w:lineRule="auto"/>
        <w:ind w:firstLine="482" w:firstLineChars="200"/>
        <w:jc w:val="left"/>
        <w:rPr>
          <w:rFonts w:ascii="Times New Roman" w:hAnsi="Times New Roman" w:eastAsia="宋体" w:cs="Times New Roman"/>
          <w:b/>
          <w:sz w:val="24"/>
        </w:rPr>
      </w:pPr>
    </w:p>
    <w:p w14:paraId="517D5DB5">
      <w:pPr>
        <w:adjustRightInd w:val="0"/>
        <w:snapToGrid w:val="0"/>
        <w:spacing w:line="360" w:lineRule="auto"/>
        <w:ind w:firstLine="482" w:firstLineChars="200"/>
        <w:jc w:val="left"/>
        <w:rPr>
          <w:rFonts w:ascii="Times New Roman" w:hAnsi="Times New Roman" w:eastAsia="宋体" w:cs="Times New Roman"/>
          <w:b/>
          <w:sz w:val="24"/>
        </w:rPr>
      </w:pPr>
    </w:p>
    <w:p w14:paraId="0B666903">
      <w:pPr>
        <w:keepNext w:val="0"/>
        <w:keepLines w:val="0"/>
        <w:pageBreakBefore w:val="0"/>
        <w:widowControl w:val="0"/>
        <w:kinsoku/>
        <w:wordWrap/>
        <w:overflowPunct/>
        <w:topLinePunct w:val="0"/>
        <w:autoSpaceDE/>
        <w:autoSpaceDN/>
        <w:bidi w:val="0"/>
        <w:adjustRightInd/>
        <w:snapToGrid/>
        <w:spacing w:line="440" w:lineRule="exact"/>
        <w:ind w:firstLine="435"/>
        <w:textAlignment w:val="auto"/>
        <w:rPr>
          <w:rFonts w:ascii="Times New Roman" w:hAnsi="Times New Roman" w:cs="Times New Roman" w:eastAsiaTheme="minorEastAsia"/>
          <w:sz w:val="24"/>
        </w:rPr>
      </w:pPr>
      <w:r>
        <w:rPr>
          <w:rFonts w:ascii="Times New Roman" w:hAnsi="Times New Roman" w:cs="Times New Roman" w:eastAsiaTheme="minorEastAsia"/>
          <w:sz w:val="24"/>
        </w:rPr>
        <w:br w:type="page"/>
      </w:r>
    </w:p>
    <w:p w14:paraId="55E274F9">
      <w:pPr>
        <w:spacing w:line="360" w:lineRule="auto"/>
        <w:jc w:val="center"/>
        <w:outlineLvl w:val="2"/>
        <w:rPr>
          <w:rFonts w:ascii="Times New Roman" w:hAnsi="Times New Roman" w:cs="Times New Roman" w:eastAsiaTheme="minorEastAsia"/>
          <w:b/>
          <w:sz w:val="24"/>
        </w:rPr>
      </w:pPr>
      <w:r>
        <w:rPr>
          <w:rFonts w:ascii="Times New Roman" w:hAnsi="Times New Roman" w:cs="Times New Roman" w:eastAsiaTheme="minorEastAsia"/>
          <w:b/>
          <w:sz w:val="24"/>
        </w:rPr>
        <w:t>二、投标函</w:t>
      </w:r>
    </w:p>
    <w:p w14:paraId="2F6A45EA">
      <w:pPr>
        <w:pStyle w:val="13"/>
        <w:spacing w:line="360" w:lineRule="auto"/>
        <w:ind w:left="0" w:leftChars="0" w:firstLine="0" w:firstLineChars="0"/>
        <w:rPr>
          <w:rFonts w:ascii="Times New Roman" w:hAnsi="Times New Roman" w:cs="Times New Roman" w:eastAsiaTheme="minorEastAsia"/>
          <w:sz w:val="24"/>
        </w:rPr>
      </w:pPr>
      <w:r>
        <w:rPr>
          <w:rFonts w:ascii="Times New Roman" w:hAnsi="Times New Roman" w:cs="Times New Roman" w:eastAsiaTheme="minorEastAsia"/>
          <w:sz w:val="24"/>
        </w:rPr>
        <w:t>致：</w:t>
      </w:r>
      <w:r>
        <w:rPr>
          <w:rFonts w:hint="eastAsia" w:cs="宋体" w:asciiTheme="minorEastAsia" w:hAnsiTheme="minorEastAsia" w:eastAsiaTheme="minorEastAsia"/>
          <w:b/>
          <w:kern w:val="2"/>
          <w:sz w:val="24"/>
          <w:szCs w:val="24"/>
          <w:u w:val="single"/>
          <w:lang w:val="en-US" w:eastAsia="zh-CN"/>
        </w:rPr>
        <w:t>合肥文旅博览集团有限公司</w:t>
      </w:r>
    </w:p>
    <w:p w14:paraId="73339869">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根据贵方的询价文件，我方承诺如下：</w:t>
      </w:r>
    </w:p>
    <w:p w14:paraId="4B516888">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1.</w:t>
      </w:r>
      <w:r>
        <w:rPr>
          <w:rFonts w:hint="eastAsia" w:cs="宋体" w:asciiTheme="minorEastAsia" w:hAnsiTheme="minorEastAsia" w:eastAsiaTheme="minorEastAsia"/>
          <w:kern w:val="2"/>
          <w:sz w:val="24"/>
          <w:szCs w:val="24"/>
        </w:rPr>
        <w:t>经踏勘项目现场和研究上述</w:t>
      </w:r>
      <w:r>
        <w:rPr>
          <w:rFonts w:hint="eastAsia" w:cs="宋体" w:asciiTheme="minorEastAsia" w:hAnsiTheme="minorEastAsia" w:eastAsiaTheme="minorEastAsia"/>
          <w:kern w:val="2"/>
          <w:sz w:val="24"/>
          <w:szCs w:val="24"/>
          <w:lang w:eastAsia="zh-CN"/>
        </w:rPr>
        <w:t>询价</w:t>
      </w:r>
      <w:r>
        <w:rPr>
          <w:rFonts w:hint="eastAsia" w:cs="宋体" w:asciiTheme="minorEastAsia" w:hAnsiTheme="minorEastAsia" w:eastAsiaTheme="minorEastAsia"/>
          <w:kern w:val="2"/>
          <w:sz w:val="24"/>
          <w:szCs w:val="24"/>
        </w:rPr>
        <w:t>文件的</w:t>
      </w:r>
      <w:r>
        <w:rPr>
          <w:rFonts w:hint="eastAsia" w:cs="宋体" w:asciiTheme="minorEastAsia" w:hAnsiTheme="minorEastAsia" w:eastAsiaTheme="minorEastAsia"/>
          <w:kern w:val="2"/>
          <w:sz w:val="24"/>
          <w:szCs w:val="24"/>
          <w:lang w:eastAsia="zh-CN"/>
        </w:rPr>
        <w:t>询价</w:t>
      </w:r>
      <w:r>
        <w:rPr>
          <w:rFonts w:hint="eastAsia" w:cs="宋体" w:asciiTheme="minorEastAsia" w:hAnsiTheme="minorEastAsia" w:eastAsiaTheme="minorEastAsia"/>
          <w:kern w:val="2"/>
          <w:sz w:val="24"/>
          <w:szCs w:val="24"/>
        </w:rPr>
        <w:t>须知、合同条款、招标人要求及其他有关文件后，我方接受上述文件要求。我方</w:t>
      </w:r>
      <w:r>
        <w:rPr>
          <w:rFonts w:hint="eastAsia" w:cs="宋体" w:asciiTheme="minorEastAsia" w:hAnsiTheme="minorEastAsia" w:eastAsiaTheme="minorEastAsia"/>
          <w:bCs/>
          <w:kern w:val="2"/>
          <w:sz w:val="24"/>
          <w:szCs w:val="24"/>
        </w:rPr>
        <w:t>承诺按本</w:t>
      </w:r>
      <w:r>
        <w:rPr>
          <w:rFonts w:hint="eastAsia" w:cs="宋体" w:asciiTheme="minorEastAsia" w:hAnsiTheme="minorEastAsia" w:eastAsiaTheme="minorEastAsia"/>
          <w:kern w:val="2"/>
          <w:sz w:val="24"/>
          <w:szCs w:val="24"/>
          <w:lang w:eastAsia="zh-CN"/>
        </w:rPr>
        <w:t>询价</w:t>
      </w:r>
      <w:r>
        <w:rPr>
          <w:rFonts w:hint="eastAsia" w:cs="宋体" w:asciiTheme="minorEastAsia" w:hAnsiTheme="minorEastAsia" w:eastAsiaTheme="minorEastAsia"/>
          <w:bCs/>
          <w:kern w:val="2"/>
          <w:sz w:val="24"/>
          <w:szCs w:val="24"/>
        </w:rPr>
        <w:t>文件、合同条款和招标人要求承担上述项目的全部内容。</w:t>
      </w:r>
    </w:p>
    <w:p w14:paraId="3DD608A4">
      <w:pPr>
        <w:spacing w:line="360" w:lineRule="auto"/>
        <w:ind w:firstLine="480" w:firstLineChars="200"/>
        <w:rPr>
          <w:rFonts w:ascii="Times New Roman" w:hAnsi="Times New Roman" w:cs="Times New Roman" w:eastAsiaTheme="minorEastAsia"/>
          <w:sz w:val="24"/>
          <w:szCs w:val="24"/>
        </w:rPr>
      </w:pPr>
      <w:r>
        <w:rPr>
          <w:rFonts w:hint="eastAsia" w:ascii="Times New Roman" w:hAnsi="Times New Roman" w:cs="Times New Roman"/>
          <w:sz w:val="24"/>
          <w:szCs w:val="24"/>
          <w:lang w:val="en-US" w:eastAsia="zh-CN"/>
        </w:rPr>
        <w:t>2.</w:t>
      </w:r>
      <w:r>
        <w:rPr>
          <w:rFonts w:ascii="Times New Roman" w:hAnsi="Times New Roman" w:cs="Times New Roman" w:eastAsiaTheme="minorEastAsia"/>
          <w:sz w:val="24"/>
          <w:szCs w:val="24"/>
        </w:rPr>
        <w:t>我方已详细审核全部询价文件，包括询价文件的补疑、澄清、变更或补充（如有），参考资料及有关附件，我方正式认可并遵守本次询价文件，并对询价文件各项条款（包括询价时间）、规定及要求均无异议。且我方自愿放弃</w:t>
      </w:r>
      <w:r>
        <w:rPr>
          <w:rFonts w:hint="eastAsia" w:ascii="Times New Roman" w:hAnsi="Times New Roman" w:cs="Times New Roman"/>
          <w:sz w:val="24"/>
          <w:szCs w:val="24"/>
          <w:lang w:eastAsia="zh-CN"/>
        </w:rPr>
        <w:t>针对</w:t>
      </w:r>
      <w:r>
        <w:rPr>
          <w:rFonts w:ascii="Times New Roman" w:hAnsi="Times New Roman" w:cs="Times New Roman" w:eastAsiaTheme="minorEastAsia"/>
          <w:sz w:val="24"/>
          <w:szCs w:val="24"/>
        </w:rPr>
        <w:t>上述各项条款提出异议的权利。</w:t>
      </w:r>
    </w:p>
    <w:p w14:paraId="61FD9E11">
      <w:pPr>
        <w:spacing w:line="360" w:lineRule="auto"/>
        <w:ind w:firstLine="480" w:firstLineChars="200"/>
        <w:rPr>
          <w:rFonts w:ascii="Times New Roman" w:hAnsi="Times New Roman" w:cs="Times New Roman" w:eastAsiaTheme="minorEastAsia"/>
          <w:sz w:val="24"/>
          <w:szCs w:val="24"/>
        </w:rPr>
      </w:pPr>
      <w:r>
        <w:rPr>
          <w:rFonts w:hint="eastAsia" w:ascii="Times New Roman" w:hAnsi="Times New Roman" w:cs="Times New Roman"/>
          <w:sz w:val="24"/>
          <w:szCs w:val="24"/>
          <w:lang w:val="en-US" w:eastAsia="zh-CN"/>
        </w:rPr>
        <w:t>3</w:t>
      </w:r>
      <w:r>
        <w:rPr>
          <w:rFonts w:ascii="Times New Roman" w:hAnsi="Times New Roman" w:cs="Times New Roman" w:eastAsiaTheme="minorEastAsia"/>
          <w:sz w:val="24"/>
          <w:szCs w:val="24"/>
        </w:rPr>
        <w:t>.如我方中标，我方承诺愿意按询价文件规定缴纳履约保证金。</w:t>
      </w:r>
      <w:r>
        <w:rPr>
          <w:rFonts w:hint="eastAsia"/>
          <w:sz w:val="24"/>
        </w:rPr>
        <w:t>按本次</w:t>
      </w:r>
      <w:r>
        <w:rPr>
          <w:rFonts w:hint="eastAsia"/>
          <w:sz w:val="24"/>
          <w:lang w:eastAsia="zh-CN"/>
        </w:rPr>
        <w:t>询价</w:t>
      </w:r>
      <w:r>
        <w:rPr>
          <w:rFonts w:hint="eastAsia"/>
          <w:sz w:val="24"/>
        </w:rPr>
        <w:t>文件规定及最终投标报价承诺提供</w:t>
      </w:r>
      <w:r>
        <w:rPr>
          <w:rFonts w:hint="eastAsia"/>
          <w:sz w:val="24"/>
          <w:lang w:eastAsia="zh-CN"/>
        </w:rPr>
        <w:t>服务</w:t>
      </w:r>
      <w:r>
        <w:rPr>
          <w:rFonts w:ascii="Times New Roman" w:hAnsi="Times New Roman" w:cs="Times New Roman" w:eastAsiaTheme="minorEastAsia"/>
          <w:sz w:val="24"/>
          <w:szCs w:val="24"/>
        </w:rPr>
        <w:t>。</w:t>
      </w:r>
    </w:p>
    <w:p w14:paraId="0953DDD6">
      <w:pPr>
        <w:spacing w:line="360" w:lineRule="auto"/>
        <w:ind w:firstLine="480" w:firstLineChars="200"/>
        <w:rPr>
          <w:rFonts w:ascii="Times New Roman" w:hAnsi="Times New Roman" w:cs="Times New Roman" w:eastAsiaTheme="minorEastAsia"/>
          <w:sz w:val="24"/>
          <w:szCs w:val="24"/>
        </w:rPr>
      </w:pPr>
      <w:r>
        <w:rPr>
          <w:rFonts w:hint="eastAsia" w:ascii="Times New Roman" w:hAnsi="Times New Roman" w:cs="Times New Roman"/>
          <w:sz w:val="24"/>
          <w:szCs w:val="24"/>
          <w:lang w:val="en-US" w:eastAsia="zh-CN"/>
        </w:rPr>
        <w:t>4</w:t>
      </w:r>
      <w:r>
        <w:rPr>
          <w:rFonts w:ascii="Times New Roman" w:hAnsi="Times New Roman" w:cs="Times New Roman" w:eastAsiaTheme="minorEastAsia"/>
          <w:sz w:val="24"/>
          <w:szCs w:val="24"/>
        </w:rPr>
        <w:t>.我方根据本次询价文件的规定，严格履行合同的责任和义务,并保证于你方要求的日期内完成供货（安装）及服务，并通过你方验收。</w:t>
      </w:r>
    </w:p>
    <w:p w14:paraId="43205E42">
      <w:pPr>
        <w:spacing w:line="360" w:lineRule="auto"/>
        <w:ind w:firstLine="480" w:firstLineChars="200"/>
        <w:rPr>
          <w:rFonts w:ascii="Times New Roman" w:hAnsi="Times New Roman" w:cs="Times New Roman" w:eastAsiaTheme="minorEastAsia"/>
          <w:sz w:val="24"/>
          <w:szCs w:val="24"/>
        </w:rPr>
      </w:pPr>
      <w:r>
        <w:rPr>
          <w:rFonts w:hint="eastAsia" w:ascii="Times New Roman" w:hAnsi="Times New Roman" w:cs="Times New Roman"/>
          <w:sz w:val="24"/>
          <w:szCs w:val="24"/>
          <w:lang w:val="en-US" w:eastAsia="zh-CN"/>
        </w:rPr>
        <w:t>5</w:t>
      </w:r>
      <w:r>
        <w:rPr>
          <w:rFonts w:ascii="Times New Roman" w:hAnsi="Times New Roman" w:cs="Times New Roman" w:eastAsiaTheme="minorEastAsia"/>
          <w:sz w:val="24"/>
          <w:szCs w:val="24"/>
        </w:rPr>
        <w:t>.我方同意按你方要求在规定时间内向你方提供与其投标有关的任何证据或补充资料，否则，我方的投标文件可被你方拒绝。</w:t>
      </w:r>
    </w:p>
    <w:p w14:paraId="6962775E">
      <w:pPr>
        <w:spacing w:line="360" w:lineRule="auto"/>
        <w:ind w:firstLine="480" w:firstLineChars="200"/>
        <w:rPr>
          <w:rFonts w:ascii="Times New Roman" w:hAnsi="Times New Roman" w:cs="Times New Roman" w:eastAsiaTheme="minorEastAsia"/>
          <w:sz w:val="24"/>
          <w:szCs w:val="24"/>
        </w:rPr>
      </w:pPr>
      <w:r>
        <w:rPr>
          <w:rFonts w:hint="eastAsia" w:ascii="Times New Roman" w:hAnsi="Times New Roman" w:cs="Times New Roman"/>
          <w:sz w:val="24"/>
          <w:szCs w:val="24"/>
          <w:lang w:val="en-US" w:eastAsia="zh-CN"/>
        </w:rPr>
        <w:t>6</w:t>
      </w:r>
      <w:r>
        <w:rPr>
          <w:rFonts w:ascii="Times New Roman" w:hAnsi="Times New Roman" w:cs="Times New Roman" w:eastAsiaTheme="minorEastAsia"/>
          <w:sz w:val="24"/>
          <w:szCs w:val="24"/>
        </w:rPr>
        <w:t>.我方同意询价文件规定的付款方式、供货（安装）期限。</w:t>
      </w:r>
    </w:p>
    <w:p w14:paraId="5FC1257C">
      <w:pPr>
        <w:spacing w:line="360" w:lineRule="auto"/>
        <w:ind w:firstLine="480" w:firstLineChars="200"/>
        <w:rPr>
          <w:rFonts w:ascii="Times New Roman" w:hAnsi="Times New Roman" w:cs="Times New Roman" w:eastAsiaTheme="minorEastAsia"/>
          <w:sz w:val="24"/>
          <w:szCs w:val="24"/>
        </w:rPr>
      </w:pPr>
      <w:r>
        <w:rPr>
          <w:rFonts w:hint="eastAsia" w:ascii="Times New Roman" w:hAnsi="Times New Roman" w:cs="Times New Roman"/>
          <w:sz w:val="24"/>
          <w:szCs w:val="24"/>
          <w:lang w:val="en-US" w:eastAsia="zh-CN"/>
        </w:rPr>
        <w:t>7</w:t>
      </w:r>
      <w:r>
        <w:rPr>
          <w:rFonts w:ascii="Times New Roman" w:hAnsi="Times New Roman" w:cs="Times New Roman" w:eastAsiaTheme="minorEastAsia"/>
          <w:sz w:val="24"/>
          <w:szCs w:val="24"/>
        </w:rPr>
        <w:t>.我方对投标文件中所提供资料、文件、证书及证件的真实性和有效性负责。</w:t>
      </w:r>
    </w:p>
    <w:p w14:paraId="6FDB41F2">
      <w:pPr>
        <w:spacing w:line="360" w:lineRule="auto"/>
        <w:ind w:firstLine="480" w:firstLineChars="200"/>
        <w:rPr>
          <w:rFonts w:ascii="Times New Roman" w:hAnsi="Times New Roman" w:cs="Times New Roman" w:eastAsiaTheme="minorEastAsia"/>
          <w:sz w:val="24"/>
          <w:szCs w:val="24"/>
        </w:rPr>
      </w:pPr>
      <w:r>
        <w:rPr>
          <w:rFonts w:hint="eastAsia" w:ascii="Times New Roman" w:hAnsi="Times New Roman" w:cs="Times New Roman"/>
          <w:sz w:val="24"/>
          <w:szCs w:val="24"/>
          <w:lang w:val="en-US" w:eastAsia="zh-CN"/>
        </w:rPr>
        <w:t>8</w:t>
      </w:r>
      <w:r>
        <w:rPr>
          <w:rFonts w:ascii="Times New Roman" w:hAnsi="Times New Roman" w:cs="Times New Roman" w:eastAsiaTheme="minorEastAsia"/>
          <w:sz w:val="24"/>
          <w:szCs w:val="24"/>
        </w:rPr>
        <w:t>.我方同意所提交的投标文件在询价文件规定的投标有效期内有效，在此期间内如果中标，我方将受此约束。</w:t>
      </w:r>
    </w:p>
    <w:p w14:paraId="2D2376FA">
      <w:pPr>
        <w:spacing w:line="360" w:lineRule="auto"/>
        <w:ind w:firstLine="480" w:firstLineChars="200"/>
        <w:rPr>
          <w:rFonts w:ascii="Times New Roman" w:hAnsi="Times New Roman" w:cs="Times New Roman" w:eastAsiaTheme="minorEastAsia"/>
          <w:sz w:val="24"/>
          <w:szCs w:val="24"/>
        </w:rPr>
      </w:pPr>
      <w:r>
        <w:rPr>
          <w:rFonts w:hint="eastAsia" w:ascii="Times New Roman" w:hAnsi="Times New Roman" w:cs="Times New Roman"/>
          <w:sz w:val="24"/>
          <w:szCs w:val="24"/>
          <w:lang w:val="en-US" w:eastAsia="zh-CN"/>
        </w:rPr>
        <w:t>9</w:t>
      </w:r>
      <w:r>
        <w:rPr>
          <w:rFonts w:ascii="Times New Roman" w:hAnsi="Times New Roman" w:cs="Times New Roman" w:eastAsiaTheme="minorEastAsia"/>
          <w:sz w:val="24"/>
          <w:szCs w:val="24"/>
        </w:rPr>
        <w:t>.除非另外达成协议并生效，你方的中标通知书和本投标文件以及询价文件、询价文件澄清、修改、补充将成为约束双方的合同文件的组成部分。</w:t>
      </w:r>
    </w:p>
    <w:p w14:paraId="1C8257BD">
      <w:pPr>
        <w:spacing w:line="360" w:lineRule="auto"/>
        <w:ind w:firstLine="480" w:firstLineChars="200"/>
        <w:rPr>
          <w:rFonts w:ascii="Times New Roman" w:hAnsi="Times New Roman" w:cs="Times New Roman"/>
        </w:rPr>
      </w:pPr>
      <w:r>
        <w:rPr>
          <w:rFonts w:hint="eastAsia" w:ascii="Times New Roman" w:hAnsi="Times New Roman" w:cs="Times New Roman"/>
          <w:sz w:val="24"/>
          <w:szCs w:val="24"/>
          <w:lang w:val="en-US" w:eastAsia="zh-CN"/>
        </w:rPr>
        <w:t>10</w:t>
      </w:r>
      <w:r>
        <w:rPr>
          <w:rFonts w:ascii="Times New Roman" w:hAnsi="Times New Roman" w:cs="Times New Roman" w:eastAsiaTheme="minorEastAsia"/>
          <w:sz w:val="24"/>
          <w:szCs w:val="24"/>
        </w:rPr>
        <w:t>.其他补充说明：</w:t>
      </w:r>
      <w:r>
        <w:rPr>
          <w:rFonts w:ascii="Times New Roman" w:hAnsi="Times New Roman" w:cs="Times New Roman" w:eastAsiaTheme="minorEastAsia"/>
          <w:sz w:val="24"/>
          <w:szCs w:val="24"/>
          <w:u w:val="single"/>
        </w:rPr>
        <w:t xml:space="preserve">             补充说明事项（如有）       </w:t>
      </w:r>
    </w:p>
    <w:p w14:paraId="7CCAE79C">
      <w:pPr>
        <w:pStyle w:val="20"/>
        <w:ind w:firstLine="210"/>
        <w:rPr>
          <w:rFonts w:ascii="Times New Roman" w:hAnsi="Times New Roman" w:cs="Times New Roman"/>
        </w:rPr>
      </w:pPr>
    </w:p>
    <w:p w14:paraId="2CE164B9">
      <w:pPr>
        <w:spacing w:line="360" w:lineRule="auto"/>
        <w:ind w:firstLine="4800" w:firstLineChars="2000"/>
        <w:rPr>
          <w:rFonts w:ascii="Times New Roman" w:hAnsi="Times New Roman" w:cs="Times New Roman"/>
          <w:sz w:val="24"/>
        </w:rPr>
      </w:pPr>
      <w:r>
        <w:rPr>
          <w:rFonts w:ascii="Times New Roman" w:hAnsi="Times New Roman" w:cs="Times New Roman" w:eastAsiaTheme="minorEastAsia"/>
          <w:sz w:val="24"/>
          <w:szCs w:val="24"/>
        </w:rPr>
        <w:t>投标人公章：</w:t>
      </w:r>
      <w:r>
        <w:rPr>
          <w:rFonts w:ascii="Times New Roman" w:hAnsi="Times New Roman" w:cs="Times New Roman"/>
          <w:sz w:val="24"/>
          <w:u w:val="single"/>
        </w:rPr>
        <w:t xml:space="preserve">             </w:t>
      </w:r>
    </w:p>
    <w:p w14:paraId="15BA9E1E">
      <w:pPr>
        <w:spacing w:line="360" w:lineRule="auto"/>
        <w:ind w:firstLine="4800" w:firstLineChars="2000"/>
        <w:rPr>
          <w:rFonts w:ascii="Times New Roman" w:hAnsi="Times New Roman" w:cs="Times New Roman"/>
          <w:sz w:val="24"/>
          <w:u w:val="single"/>
        </w:rPr>
      </w:pPr>
      <w:r>
        <w:rPr>
          <w:rFonts w:ascii="Times New Roman" w:hAnsi="Times New Roman" w:cs="Times New Roman" w:eastAsiaTheme="minorEastAsia"/>
          <w:sz w:val="24"/>
          <w:szCs w:val="24"/>
        </w:rPr>
        <w:t>日      期：</w:t>
      </w:r>
      <w:r>
        <w:rPr>
          <w:rFonts w:ascii="Times New Roman" w:hAnsi="Times New Roman" w:cs="Times New Roman"/>
          <w:sz w:val="24"/>
          <w:u w:val="single"/>
        </w:rPr>
        <w:t xml:space="preserve">             </w:t>
      </w:r>
    </w:p>
    <w:p w14:paraId="0E0F2003">
      <w:pPr>
        <w:widowControl/>
        <w:spacing w:line="360" w:lineRule="auto"/>
        <w:jc w:val="left"/>
        <w:rPr>
          <w:rFonts w:ascii="Times New Roman" w:hAnsi="Times New Roman" w:cs="Times New Roman" w:eastAsiaTheme="minorEastAsia"/>
          <w:b w:val="0"/>
          <w:sz w:val="24"/>
        </w:rPr>
      </w:pPr>
      <w:r>
        <w:rPr>
          <w:rFonts w:ascii="Times New Roman" w:hAnsi="Times New Roman" w:cs="Times New Roman" w:eastAsiaTheme="minorEastAsia"/>
          <w:b w:val="0"/>
          <w:sz w:val="24"/>
        </w:rPr>
        <w:br w:type="page"/>
      </w:r>
    </w:p>
    <w:p w14:paraId="3D90692B">
      <w:pPr>
        <w:spacing w:line="360" w:lineRule="auto"/>
        <w:jc w:val="center"/>
        <w:outlineLvl w:val="2"/>
        <w:rPr>
          <w:rFonts w:ascii="Times New Roman" w:hAnsi="Times New Roman" w:eastAsia="宋体" w:cs="Times New Roman"/>
          <w:b/>
          <w:sz w:val="24"/>
        </w:rPr>
      </w:pPr>
      <w:bookmarkStart w:id="15" w:name="_Toc516969106"/>
      <w:bookmarkStart w:id="16" w:name="_Toc520983594"/>
      <w:bookmarkStart w:id="17" w:name="_Toc3356"/>
      <w:bookmarkStart w:id="18" w:name="_Toc204594911"/>
      <w:bookmarkStart w:id="19" w:name="_Toc121626298"/>
      <w:r>
        <w:rPr>
          <w:rFonts w:hint="eastAsia" w:ascii="Times New Roman" w:hAnsi="Times New Roman" w:eastAsia="宋体" w:cs="Times New Roman"/>
          <w:b/>
          <w:sz w:val="24"/>
          <w:lang w:val="en-US" w:eastAsia="zh-CN"/>
        </w:rPr>
        <w:t>三</w:t>
      </w:r>
      <w:r>
        <w:rPr>
          <w:rFonts w:ascii="Times New Roman" w:hAnsi="Times New Roman" w:eastAsia="宋体" w:cs="Times New Roman"/>
          <w:b/>
          <w:sz w:val="24"/>
        </w:rPr>
        <w:t>、法定代表人（单位负责人）身份证明或授权委托书</w:t>
      </w:r>
    </w:p>
    <w:p w14:paraId="5160961B">
      <w:pPr>
        <w:spacing w:line="500" w:lineRule="exact"/>
        <w:ind w:firstLine="1164" w:firstLineChars="414"/>
        <w:rPr>
          <w:b/>
          <w:bCs/>
          <w:sz w:val="28"/>
          <w:szCs w:val="22"/>
        </w:rPr>
      </w:pPr>
    </w:p>
    <w:p w14:paraId="43554C51">
      <w:pPr>
        <w:spacing w:line="500" w:lineRule="exact"/>
        <w:jc w:val="center"/>
        <w:rPr>
          <w:rFonts w:eastAsia="黑体"/>
          <w:bCs/>
          <w:sz w:val="24"/>
        </w:rPr>
      </w:pPr>
      <w:r>
        <w:rPr>
          <w:rFonts w:eastAsia="黑体"/>
          <w:bCs/>
          <w:sz w:val="24"/>
        </w:rPr>
        <w:t>法定代表人（单位负责人）身份证明</w:t>
      </w:r>
    </w:p>
    <w:p w14:paraId="064B5CBB">
      <w:pPr>
        <w:spacing w:line="500" w:lineRule="exact"/>
        <w:ind w:left="765"/>
        <w:rPr>
          <w:szCs w:val="22"/>
        </w:rPr>
      </w:pPr>
    </w:p>
    <w:p w14:paraId="73BA1F12">
      <w:pPr>
        <w:spacing w:line="500" w:lineRule="exact"/>
        <w:rPr>
          <w:szCs w:val="21"/>
        </w:rPr>
      </w:pPr>
      <w:r>
        <w:rPr>
          <w:szCs w:val="21"/>
        </w:rPr>
        <w:t>投 标 人：</w:t>
      </w:r>
      <w:r>
        <w:rPr>
          <w:szCs w:val="21"/>
          <w:u w:val="single"/>
        </w:rPr>
        <w:t xml:space="preserve">                                                        </w:t>
      </w:r>
    </w:p>
    <w:p w14:paraId="637C7964">
      <w:pPr>
        <w:spacing w:line="500" w:lineRule="exact"/>
        <w:rPr>
          <w:szCs w:val="21"/>
        </w:rPr>
      </w:pPr>
      <w:r>
        <w:rPr>
          <w:szCs w:val="21"/>
        </w:rPr>
        <w:t>单位性质：</w:t>
      </w:r>
      <w:r>
        <w:rPr>
          <w:szCs w:val="21"/>
          <w:u w:val="single"/>
        </w:rPr>
        <w:t xml:space="preserve">                                                        </w:t>
      </w:r>
    </w:p>
    <w:p w14:paraId="2AB876E2">
      <w:pPr>
        <w:spacing w:line="500" w:lineRule="exact"/>
        <w:rPr>
          <w:szCs w:val="21"/>
        </w:rPr>
      </w:pPr>
      <w:r>
        <w:rPr>
          <w:szCs w:val="21"/>
        </w:rPr>
        <w:t>地    址：</w:t>
      </w:r>
      <w:r>
        <w:rPr>
          <w:szCs w:val="21"/>
          <w:u w:val="single"/>
        </w:rPr>
        <w:t xml:space="preserve">                                                        </w:t>
      </w:r>
    </w:p>
    <w:p w14:paraId="6D51D54A">
      <w:pPr>
        <w:spacing w:line="500" w:lineRule="exact"/>
        <w:rPr>
          <w:szCs w:val="21"/>
        </w:rPr>
      </w:pPr>
      <w:r>
        <w:rPr>
          <w:szCs w:val="21"/>
        </w:rPr>
        <w:t>成立时间：</w:t>
      </w:r>
      <w:r>
        <w:rPr>
          <w:szCs w:val="21"/>
          <w:u w:val="single"/>
        </w:rPr>
        <w:t xml:space="preserve">                 </w:t>
      </w:r>
      <w:r>
        <w:rPr>
          <w:szCs w:val="21"/>
        </w:rPr>
        <w:t>年</w:t>
      </w:r>
      <w:r>
        <w:rPr>
          <w:szCs w:val="21"/>
          <w:u w:val="single"/>
        </w:rPr>
        <w:t xml:space="preserve">              </w:t>
      </w:r>
      <w:r>
        <w:rPr>
          <w:szCs w:val="21"/>
        </w:rPr>
        <w:t>月</w:t>
      </w:r>
      <w:r>
        <w:rPr>
          <w:szCs w:val="21"/>
          <w:u w:val="single"/>
        </w:rPr>
        <w:t xml:space="preserve">              </w:t>
      </w:r>
      <w:r>
        <w:rPr>
          <w:szCs w:val="21"/>
        </w:rPr>
        <w:t>日</w:t>
      </w:r>
    </w:p>
    <w:p w14:paraId="0A19C503">
      <w:pPr>
        <w:spacing w:line="500" w:lineRule="exact"/>
        <w:rPr>
          <w:szCs w:val="21"/>
        </w:rPr>
      </w:pPr>
      <w:r>
        <w:rPr>
          <w:szCs w:val="21"/>
        </w:rPr>
        <w:t>经营期限：</w:t>
      </w:r>
      <w:r>
        <w:rPr>
          <w:szCs w:val="21"/>
          <w:u w:val="single"/>
        </w:rPr>
        <w:t xml:space="preserve">                                                        </w:t>
      </w:r>
    </w:p>
    <w:p w14:paraId="632C544F">
      <w:pPr>
        <w:spacing w:line="500" w:lineRule="exact"/>
        <w:rPr>
          <w:szCs w:val="21"/>
        </w:rPr>
      </w:pPr>
      <w:r>
        <w:rPr>
          <w:szCs w:val="21"/>
        </w:rPr>
        <w:t>姓    名：</w:t>
      </w:r>
      <w:r>
        <w:rPr>
          <w:szCs w:val="21"/>
          <w:u w:val="single"/>
        </w:rPr>
        <w:t xml:space="preserve">                          </w:t>
      </w:r>
      <w:r>
        <w:rPr>
          <w:szCs w:val="21"/>
        </w:rPr>
        <w:t>性        别：</w:t>
      </w:r>
      <w:r>
        <w:rPr>
          <w:szCs w:val="21"/>
          <w:u w:val="single"/>
        </w:rPr>
        <w:t xml:space="preserve">                </w:t>
      </w:r>
    </w:p>
    <w:p w14:paraId="0A8E8623">
      <w:pPr>
        <w:spacing w:line="500" w:lineRule="exact"/>
        <w:rPr>
          <w:szCs w:val="21"/>
        </w:rPr>
      </w:pPr>
      <w:r>
        <w:rPr>
          <w:szCs w:val="21"/>
        </w:rPr>
        <w:t>年    龄：</w:t>
      </w:r>
      <w:r>
        <w:rPr>
          <w:szCs w:val="21"/>
          <w:u w:val="single"/>
        </w:rPr>
        <w:t xml:space="preserve">                          </w:t>
      </w:r>
      <w:r>
        <w:rPr>
          <w:szCs w:val="21"/>
        </w:rPr>
        <w:t>职        务：</w:t>
      </w:r>
      <w:r>
        <w:rPr>
          <w:szCs w:val="21"/>
          <w:u w:val="single"/>
        </w:rPr>
        <w:t xml:space="preserve">                </w:t>
      </w:r>
    </w:p>
    <w:p w14:paraId="63D22BE9">
      <w:pPr>
        <w:spacing w:line="500" w:lineRule="exact"/>
        <w:rPr>
          <w:szCs w:val="21"/>
        </w:rPr>
      </w:pPr>
      <w:r>
        <w:rPr>
          <w:szCs w:val="21"/>
        </w:rPr>
        <w:t>系</w:t>
      </w:r>
      <w:r>
        <w:rPr>
          <w:szCs w:val="21"/>
          <w:u w:val="single"/>
        </w:rPr>
        <w:t xml:space="preserve">                                        </w:t>
      </w:r>
      <w:r>
        <w:rPr>
          <w:szCs w:val="21"/>
        </w:rPr>
        <w:t>（投标人名称）的法定代表人（单位负责人）。</w:t>
      </w:r>
    </w:p>
    <w:p w14:paraId="6ABC96BF">
      <w:pPr>
        <w:spacing w:line="500" w:lineRule="exact"/>
        <w:rPr>
          <w:szCs w:val="21"/>
        </w:rPr>
      </w:pPr>
      <w:r>
        <w:rPr>
          <w:szCs w:val="21"/>
        </w:rPr>
        <w:t>特此证明。</w:t>
      </w:r>
    </w:p>
    <w:p w14:paraId="6C3B2B56">
      <w:pPr>
        <w:spacing w:line="500" w:lineRule="exact"/>
        <w:rPr>
          <w:szCs w:val="21"/>
        </w:rPr>
      </w:pPr>
    </w:p>
    <w:p w14:paraId="3DA9EB0C">
      <w:pPr>
        <w:spacing w:line="500" w:lineRule="exact"/>
        <w:rPr>
          <w:szCs w:val="21"/>
        </w:rPr>
      </w:pPr>
    </w:p>
    <w:p w14:paraId="58759581">
      <w:pPr>
        <w:wordWrap w:val="0"/>
        <w:spacing w:line="500" w:lineRule="exact"/>
        <w:jc w:val="right"/>
        <w:rPr>
          <w:szCs w:val="21"/>
        </w:rPr>
      </w:pPr>
      <w:r>
        <w:rPr>
          <w:szCs w:val="21"/>
        </w:rPr>
        <w:t>投标人：</w:t>
      </w:r>
      <w:r>
        <w:rPr>
          <w:szCs w:val="21"/>
          <w:u w:val="single"/>
        </w:rPr>
        <w:t xml:space="preserve">                          </w:t>
      </w:r>
      <w:r>
        <w:rPr>
          <w:szCs w:val="21"/>
        </w:rPr>
        <w:t>（盖单位章）</w:t>
      </w:r>
    </w:p>
    <w:p w14:paraId="3E98A60A">
      <w:pPr>
        <w:spacing w:line="500" w:lineRule="exact"/>
        <w:ind w:firstLine="3570" w:firstLineChars="1700"/>
        <w:rPr>
          <w:sz w:val="24"/>
          <w:szCs w:val="22"/>
        </w:rPr>
      </w:pPr>
      <w:r>
        <w:rPr>
          <w:szCs w:val="21"/>
          <w:u w:val="single"/>
        </w:rPr>
        <w:t xml:space="preserve">   </w:t>
      </w:r>
      <w:r>
        <w:rPr>
          <w:rFonts w:hint="eastAsia"/>
          <w:szCs w:val="21"/>
          <w:u w:val="single"/>
        </w:rPr>
        <w:t xml:space="preserve">  </w:t>
      </w:r>
      <w:r>
        <w:rPr>
          <w:szCs w:val="21"/>
          <w:u w:val="single"/>
        </w:rPr>
        <w:t xml:space="preserve">      </w:t>
      </w:r>
      <w:r>
        <w:rPr>
          <w:szCs w:val="21"/>
        </w:rPr>
        <w:t>年</w:t>
      </w:r>
      <w:r>
        <w:rPr>
          <w:szCs w:val="21"/>
          <w:u w:val="single"/>
        </w:rPr>
        <w:t xml:space="preserve">      </w:t>
      </w:r>
      <w:r>
        <w:rPr>
          <w:rFonts w:hint="eastAsia"/>
          <w:szCs w:val="21"/>
          <w:u w:val="single"/>
        </w:rPr>
        <w:t xml:space="preserve">  </w:t>
      </w:r>
      <w:r>
        <w:rPr>
          <w:szCs w:val="21"/>
          <w:u w:val="single"/>
        </w:rPr>
        <w:t xml:space="preserve">  </w:t>
      </w:r>
      <w:r>
        <w:rPr>
          <w:szCs w:val="21"/>
        </w:rPr>
        <w:t>月</w:t>
      </w:r>
      <w:r>
        <w:rPr>
          <w:szCs w:val="21"/>
          <w:u w:val="single"/>
        </w:rPr>
        <w:t xml:space="preserve">       </w:t>
      </w:r>
      <w:r>
        <w:rPr>
          <w:rFonts w:hint="eastAsia"/>
          <w:szCs w:val="21"/>
          <w:u w:val="single"/>
        </w:rPr>
        <w:t xml:space="preserve">  </w:t>
      </w:r>
      <w:r>
        <w:rPr>
          <w:szCs w:val="21"/>
          <w:u w:val="single"/>
        </w:rPr>
        <w:t xml:space="preserve"> </w:t>
      </w:r>
      <w:r>
        <w:rPr>
          <w:szCs w:val="21"/>
        </w:rPr>
        <w:t>日</w:t>
      </w:r>
    </w:p>
    <w:p w14:paraId="6CB1F3A0">
      <w:pPr>
        <w:spacing w:line="500" w:lineRule="exact"/>
        <w:ind w:firstLine="3840" w:firstLineChars="1600"/>
        <w:rPr>
          <w:sz w:val="24"/>
          <w:szCs w:val="22"/>
        </w:rPr>
      </w:pPr>
    </w:p>
    <w:p w14:paraId="4AB3098F">
      <w:pPr>
        <w:spacing w:line="500" w:lineRule="exact"/>
        <w:rPr>
          <w:b/>
          <w:bCs/>
          <w:sz w:val="24"/>
          <w:szCs w:val="22"/>
        </w:rPr>
      </w:pPr>
    </w:p>
    <w:p w14:paraId="2D1B1CA2">
      <w:pPr>
        <w:spacing w:line="500" w:lineRule="exact"/>
        <w:rPr>
          <w:b/>
          <w:bCs/>
          <w:sz w:val="24"/>
          <w:szCs w:val="22"/>
        </w:rPr>
      </w:pPr>
    </w:p>
    <w:p w14:paraId="2C7FA97B">
      <w:pPr>
        <w:spacing w:line="500" w:lineRule="exact"/>
        <w:rPr>
          <w:b/>
          <w:bCs/>
          <w:sz w:val="24"/>
          <w:szCs w:val="22"/>
        </w:rPr>
      </w:pPr>
    </w:p>
    <w:p w14:paraId="12E99FB3">
      <w:pPr>
        <w:spacing w:line="500" w:lineRule="exact"/>
        <w:jc w:val="center"/>
        <w:rPr>
          <w:rFonts w:hint="default" w:eastAsia="黑体"/>
          <w:sz w:val="32"/>
          <w:szCs w:val="32"/>
          <w:lang w:val="en-US" w:eastAsia="zh-CN"/>
        </w:rPr>
      </w:pPr>
      <w:bookmarkStart w:id="20" w:name="_Toc535241227"/>
      <w:bookmarkStart w:id="21" w:name="_Toc535241130"/>
      <w:bookmarkStart w:id="22" w:name="_Toc535241084"/>
      <w:bookmarkStart w:id="23" w:name="_Toc224103498"/>
      <w:bookmarkStart w:id="24" w:name="_Toc224103497"/>
      <w:r>
        <w:rPr>
          <w:sz w:val="32"/>
          <w:szCs w:val="32"/>
        </w:rPr>
        <w:br w:type="page"/>
      </w:r>
      <w:r>
        <w:rPr>
          <w:rFonts w:eastAsia="黑体"/>
          <w:bCs/>
          <w:sz w:val="24"/>
        </w:rPr>
        <w:t>授权委托书</w:t>
      </w:r>
      <w:bookmarkEnd w:id="20"/>
      <w:bookmarkEnd w:id="21"/>
      <w:bookmarkEnd w:id="22"/>
    </w:p>
    <w:p w14:paraId="304EE75B">
      <w:pPr>
        <w:spacing w:line="500" w:lineRule="exact"/>
      </w:pPr>
    </w:p>
    <w:p w14:paraId="2D8C38F4">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jc w:val="left"/>
        <w:textAlignment w:val="auto"/>
        <w:rPr>
          <w:szCs w:val="21"/>
        </w:rPr>
      </w:pPr>
      <w:r>
        <w:rPr>
          <w:szCs w:val="21"/>
        </w:rPr>
        <w:t>本人</w:t>
      </w:r>
      <w:r>
        <w:rPr>
          <w:szCs w:val="21"/>
          <w:u w:val="single"/>
        </w:rPr>
        <w:t xml:space="preserve">           </w:t>
      </w:r>
      <w:r>
        <w:rPr>
          <w:szCs w:val="21"/>
        </w:rPr>
        <w:t>（姓名）系</w:t>
      </w:r>
      <w:r>
        <w:rPr>
          <w:szCs w:val="21"/>
          <w:u w:val="single"/>
        </w:rPr>
        <w:t xml:space="preserve">             </w:t>
      </w:r>
      <w:r>
        <w:rPr>
          <w:szCs w:val="21"/>
        </w:rPr>
        <w:t>（投标人名称）的法定代表人（单位负责人），现委托</w:t>
      </w:r>
      <w:r>
        <w:rPr>
          <w:szCs w:val="21"/>
          <w:u w:val="single"/>
        </w:rPr>
        <w:t xml:space="preserve">      </w:t>
      </w:r>
      <w:r>
        <w:rPr>
          <w:szCs w:val="21"/>
        </w:rPr>
        <w:t>（姓名）为我方代理人。代理人根据授权，以我方名义签署、澄清、说明、补正、递交、撤回、修改</w:t>
      </w:r>
      <w:r>
        <w:rPr>
          <w:rFonts w:hint="eastAsia"/>
          <w:szCs w:val="21"/>
          <w:u w:val="single"/>
        </w:rPr>
        <w:t>文旅集团2024年下半年集中处置资产评估</w:t>
      </w:r>
      <w:r>
        <w:rPr>
          <w:szCs w:val="21"/>
          <w:u w:val="single"/>
        </w:rPr>
        <w:t>项目</w:t>
      </w:r>
      <w:r>
        <w:rPr>
          <w:szCs w:val="21"/>
        </w:rPr>
        <w:t>投标文件、签订合同和处理有关事宜，其法律后果由我方承担。</w:t>
      </w:r>
    </w:p>
    <w:p w14:paraId="16A298F0">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szCs w:val="21"/>
        </w:rPr>
      </w:pPr>
      <w:r>
        <w:rPr>
          <w:szCs w:val="21"/>
        </w:rPr>
        <w:t>委托期限：</w:t>
      </w:r>
      <w:r>
        <w:rPr>
          <w:szCs w:val="21"/>
          <w:u w:val="single"/>
        </w:rPr>
        <w:t>自本委托书签署之日起至投标有效期期满</w:t>
      </w:r>
      <w:r>
        <w:rPr>
          <w:szCs w:val="21"/>
        </w:rPr>
        <w:t>。</w:t>
      </w:r>
    </w:p>
    <w:p w14:paraId="07D363D2">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szCs w:val="21"/>
        </w:rPr>
      </w:pPr>
      <w:r>
        <w:rPr>
          <w:szCs w:val="21"/>
        </w:rPr>
        <w:t>代理人无转委托权。</w:t>
      </w:r>
    </w:p>
    <w:p w14:paraId="7A076E45">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rFonts w:ascii="Times New Roman" w:hAnsi="Times New Roman" w:eastAsia="宋体" w:cs="Times New Roman"/>
          <w:szCs w:val="21"/>
        </w:rPr>
      </w:pPr>
      <w:r>
        <w:rPr>
          <w:rFonts w:ascii="Times New Roman" w:hAnsi="Times New Roman" w:eastAsia="宋体" w:cs="Times New Roman"/>
          <w:szCs w:val="21"/>
        </w:rPr>
        <w:t>附：法定代表人身份证明</w:t>
      </w:r>
    </w:p>
    <w:p w14:paraId="04039C04">
      <w:pPr>
        <w:keepNext w:val="0"/>
        <w:keepLines w:val="0"/>
        <w:pageBreakBefore w:val="0"/>
        <w:widowControl w:val="0"/>
        <w:kinsoku/>
        <w:wordWrap/>
        <w:overflowPunct/>
        <w:topLinePunct w:val="0"/>
        <w:autoSpaceDE/>
        <w:autoSpaceDN/>
        <w:bidi w:val="0"/>
        <w:adjustRightInd/>
        <w:snapToGrid w:val="0"/>
        <w:spacing w:line="500" w:lineRule="exact"/>
        <w:ind w:firstLine="840" w:firstLineChars="400"/>
        <w:textAlignment w:val="auto"/>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委托代理人及法定代表人身份证扫描件</w:t>
      </w:r>
    </w:p>
    <w:p w14:paraId="700C1855">
      <w:pPr>
        <w:spacing w:line="500" w:lineRule="exact"/>
        <w:rPr>
          <w:szCs w:val="21"/>
        </w:rPr>
      </w:pPr>
    </w:p>
    <w:p w14:paraId="7DE81FC5">
      <w:pPr>
        <w:spacing w:line="500" w:lineRule="exact"/>
        <w:ind w:firstLine="3150" w:firstLineChars="1500"/>
        <w:rPr>
          <w:szCs w:val="21"/>
        </w:rPr>
      </w:pPr>
      <w:r>
        <w:rPr>
          <w:szCs w:val="21"/>
        </w:rPr>
        <w:t>投  标  人：</w:t>
      </w:r>
      <w:r>
        <w:rPr>
          <w:szCs w:val="21"/>
          <w:u w:val="single"/>
        </w:rPr>
        <w:t xml:space="preserve">                         </w:t>
      </w:r>
      <w:r>
        <w:rPr>
          <w:szCs w:val="21"/>
        </w:rPr>
        <w:t>（盖单位章）</w:t>
      </w:r>
    </w:p>
    <w:p w14:paraId="2A8FDB9D">
      <w:pPr>
        <w:spacing w:line="500" w:lineRule="exact"/>
        <w:ind w:firstLine="3150" w:firstLineChars="1500"/>
        <w:rPr>
          <w:szCs w:val="21"/>
        </w:rPr>
      </w:pPr>
      <w:r>
        <w:rPr>
          <w:szCs w:val="21"/>
        </w:rPr>
        <w:t>法定代表人（单位负责人）：</w:t>
      </w:r>
      <w:r>
        <w:rPr>
          <w:szCs w:val="21"/>
          <w:u w:val="single"/>
        </w:rPr>
        <w:t xml:space="preserve">          </w:t>
      </w:r>
      <w:r>
        <w:rPr>
          <w:szCs w:val="21"/>
        </w:rPr>
        <w:t>（签字或盖章）</w:t>
      </w:r>
    </w:p>
    <w:p w14:paraId="4055958E">
      <w:pPr>
        <w:spacing w:line="500" w:lineRule="exact"/>
        <w:ind w:firstLine="3150" w:firstLineChars="1500"/>
        <w:rPr>
          <w:szCs w:val="21"/>
          <w:u w:val="single"/>
        </w:rPr>
      </w:pPr>
      <w:r>
        <w:rPr>
          <w:szCs w:val="21"/>
        </w:rPr>
        <w:t>身份证号码</w:t>
      </w:r>
      <w:r>
        <w:rPr>
          <w:color w:val="FF0000"/>
          <w:szCs w:val="21"/>
        </w:rPr>
        <w:t>（代理人）</w:t>
      </w:r>
      <w:r>
        <w:rPr>
          <w:szCs w:val="21"/>
        </w:rPr>
        <w:t>：</w:t>
      </w:r>
      <w:r>
        <w:rPr>
          <w:szCs w:val="21"/>
          <w:u w:val="single"/>
        </w:rPr>
        <w:t xml:space="preserve">                                   </w:t>
      </w:r>
    </w:p>
    <w:p w14:paraId="6DD43E34">
      <w:pPr>
        <w:spacing w:line="500" w:lineRule="exact"/>
        <w:ind w:firstLine="4830" w:firstLineChars="2300"/>
        <w:jc w:val="right"/>
        <w:rPr>
          <w:szCs w:val="21"/>
        </w:rPr>
      </w:pPr>
      <w:r>
        <w:rPr>
          <w:szCs w:val="21"/>
          <w:u w:val="single"/>
        </w:rPr>
        <w:t xml:space="preserve">     </w:t>
      </w:r>
      <w:r>
        <w:rPr>
          <w:szCs w:val="21"/>
        </w:rPr>
        <w:t>年</w:t>
      </w:r>
      <w:r>
        <w:rPr>
          <w:szCs w:val="21"/>
          <w:u w:val="single"/>
        </w:rPr>
        <w:t xml:space="preserve">   </w:t>
      </w:r>
      <w:r>
        <w:rPr>
          <w:szCs w:val="21"/>
        </w:rPr>
        <w:t>月</w:t>
      </w:r>
      <w:r>
        <w:rPr>
          <w:szCs w:val="21"/>
          <w:u w:val="single"/>
        </w:rPr>
        <w:t xml:space="preserve">   </w:t>
      </w:r>
      <w:r>
        <w:rPr>
          <w:szCs w:val="21"/>
        </w:rPr>
        <w:t>日</w:t>
      </w:r>
    </w:p>
    <w:p w14:paraId="324BE80C">
      <w:pPr>
        <w:autoSpaceDE w:val="0"/>
        <w:autoSpaceDN w:val="0"/>
        <w:adjustRightInd w:val="0"/>
        <w:snapToGrid w:val="0"/>
        <w:spacing w:line="500" w:lineRule="exact"/>
        <w:jc w:val="left"/>
        <w:rPr>
          <w:kern w:val="0"/>
          <w:szCs w:val="22"/>
        </w:rPr>
      </w:pPr>
    </w:p>
    <w:p w14:paraId="4F91314B">
      <w:pPr>
        <w:tabs>
          <w:tab w:val="left" w:pos="5760"/>
        </w:tabs>
        <w:autoSpaceDE w:val="0"/>
        <w:autoSpaceDN w:val="0"/>
        <w:adjustRightInd w:val="0"/>
        <w:spacing w:line="500" w:lineRule="exact"/>
        <w:ind w:right="11"/>
        <w:rPr>
          <w:kern w:val="0"/>
          <w:szCs w:val="22"/>
        </w:rPr>
      </w:pPr>
      <w:r>
        <w:rPr>
          <w:kern w:val="0"/>
          <w:szCs w:val="22"/>
        </w:rPr>
        <w:t>注：</w:t>
      </w:r>
    </w:p>
    <w:p w14:paraId="0C535DDB">
      <w:pPr>
        <w:tabs>
          <w:tab w:val="left" w:pos="5760"/>
        </w:tabs>
        <w:autoSpaceDE w:val="0"/>
        <w:autoSpaceDN w:val="0"/>
        <w:adjustRightInd w:val="0"/>
        <w:spacing w:line="500" w:lineRule="exact"/>
        <w:ind w:right="11"/>
        <w:rPr>
          <w:kern w:val="0"/>
          <w:szCs w:val="22"/>
        </w:rPr>
      </w:pPr>
      <w:r>
        <w:rPr>
          <w:kern w:val="0"/>
          <w:szCs w:val="22"/>
        </w:rPr>
        <w:t>法定代表人（单位负责人）参加投标活动并签署文件的不需要授权委托书，只需提供法定代表人（单位负责人）身份证明；非法定代表人（单位负责人）参加投标活动及签署文件的除提供法定代表人（单位负责人）身份证明外还须提供授权委托书。</w:t>
      </w:r>
      <w:bookmarkEnd w:id="23"/>
      <w:bookmarkEnd w:id="24"/>
    </w:p>
    <w:p w14:paraId="1A6E78BC">
      <w:pPr>
        <w:spacing w:line="360" w:lineRule="auto"/>
        <w:ind w:firstLine="435"/>
        <w:jc w:val="center"/>
        <w:rPr>
          <w:sz w:val="24"/>
        </w:rPr>
      </w:pPr>
      <w:r>
        <w:rPr>
          <w:rFonts w:ascii="Times New Roman" w:hAnsi="Times New Roman"/>
          <w:kern w:val="0"/>
          <w:szCs w:val="22"/>
        </w:rPr>
        <w:br w:type="page"/>
      </w:r>
      <w:bookmarkEnd w:id="15"/>
      <w:bookmarkEnd w:id="16"/>
      <w:bookmarkEnd w:id="17"/>
      <w:bookmarkEnd w:id="18"/>
      <w:bookmarkEnd w:id="19"/>
    </w:p>
    <w:p w14:paraId="356B2658">
      <w:pPr>
        <w:rPr>
          <w:sz w:val="24"/>
          <w:szCs w:val="22"/>
        </w:rPr>
        <w:sectPr>
          <w:headerReference r:id="rId4" w:type="default"/>
          <w:footerReference r:id="rId5" w:type="default"/>
          <w:pgSz w:w="11906" w:h="16838"/>
          <w:pgMar w:top="1440" w:right="1800" w:bottom="1440" w:left="1800" w:header="851" w:footer="992" w:gutter="0"/>
          <w:pgNumType w:start="1"/>
          <w:cols w:space="425" w:num="1"/>
          <w:docGrid w:type="lines" w:linePitch="312" w:charSpace="0"/>
        </w:sectPr>
      </w:pPr>
    </w:p>
    <w:p w14:paraId="50FD004C">
      <w:pPr>
        <w:pStyle w:val="21"/>
      </w:pPr>
    </w:p>
    <w:p w14:paraId="7ABB7AF8">
      <w:pPr>
        <w:pStyle w:val="21"/>
        <w:rPr>
          <w:sz w:val="24"/>
          <w:szCs w:val="22"/>
        </w:rPr>
      </w:pPr>
    </w:p>
    <w:p w14:paraId="1A9634DC">
      <w:pPr>
        <w:spacing w:line="360" w:lineRule="auto"/>
        <w:jc w:val="center"/>
        <w:outlineLvl w:val="1"/>
        <w:rPr>
          <w:rFonts w:hint="eastAsia" w:asciiTheme="minorEastAsia" w:hAnsiTheme="minorEastAsia" w:eastAsiaTheme="minorEastAsia"/>
          <w:b/>
          <w:sz w:val="24"/>
          <w:szCs w:val="20"/>
        </w:rPr>
      </w:pPr>
      <w:r>
        <w:rPr>
          <w:rFonts w:hint="eastAsia" w:asciiTheme="minorEastAsia" w:hAnsiTheme="minorEastAsia"/>
          <w:b/>
          <w:sz w:val="24"/>
          <w:szCs w:val="20"/>
          <w:lang w:val="en-US" w:eastAsia="zh-CN"/>
        </w:rPr>
        <w:t>四</w:t>
      </w:r>
      <w:r>
        <w:rPr>
          <w:rFonts w:hint="eastAsia" w:asciiTheme="minorEastAsia" w:hAnsiTheme="minorEastAsia" w:eastAsiaTheme="minorEastAsia"/>
          <w:b/>
          <w:sz w:val="24"/>
          <w:szCs w:val="20"/>
          <w:lang w:val="en-US" w:eastAsia="zh-CN"/>
        </w:rPr>
        <w:t>、</w:t>
      </w:r>
      <w:r>
        <w:rPr>
          <w:rFonts w:hint="eastAsia" w:asciiTheme="minorEastAsia" w:hAnsiTheme="minorEastAsia" w:eastAsiaTheme="minorEastAsia"/>
          <w:b/>
          <w:sz w:val="24"/>
          <w:szCs w:val="20"/>
        </w:rPr>
        <w:t>其他相关证明材料</w:t>
      </w:r>
    </w:p>
    <w:p w14:paraId="6124FE57">
      <w:pPr>
        <w:pStyle w:val="21"/>
        <w:numPr>
          <w:ilvl w:val="-1"/>
          <w:numId w:val="0"/>
        </w:numPr>
        <w:ind w:left="400" w:firstLine="0"/>
        <w:rPr>
          <w:rFonts w:hint="eastAsia"/>
          <w:sz w:val="24"/>
          <w:szCs w:val="22"/>
        </w:rPr>
      </w:pPr>
      <w:r>
        <w:rPr>
          <w:rFonts w:hint="eastAsia"/>
          <w:sz w:val="24"/>
          <w:szCs w:val="22"/>
        </w:rPr>
        <w:t>提供符合询价公告、招标人要求及评审方法规定的相关证明文件。</w:t>
      </w:r>
    </w:p>
    <w:p w14:paraId="0117408F">
      <w:pPr>
        <w:pStyle w:val="21"/>
        <w:numPr>
          <w:ilvl w:val="0"/>
          <w:numId w:val="0"/>
        </w:numPr>
        <w:spacing w:line="360" w:lineRule="auto"/>
        <w:ind w:left="400" w:firstLine="0"/>
        <w:rPr>
          <w:rFonts w:ascii="Times New Roman" w:hAnsi="Times New Roman" w:cs="Times New Roman" w:eastAsiaTheme="minorEastAsia"/>
          <w:sz w:val="24"/>
        </w:rPr>
      </w:pPr>
      <w:r>
        <w:rPr>
          <w:rFonts w:hint="eastAsia"/>
          <w:sz w:val="24"/>
          <w:szCs w:val="22"/>
          <w:lang w:eastAsia="zh-CN"/>
        </w:rPr>
        <w:t>（</w:t>
      </w:r>
      <w:r>
        <w:rPr>
          <w:rFonts w:hint="eastAsia"/>
          <w:sz w:val="24"/>
          <w:szCs w:val="22"/>
          <w:lang w:val="en-US" w:eastAsia="zh-CN"/>
        </w:rPr>
        <w:t>营业执照等</w:t>
      </w:r>
      <w:r>
        <w:rPr>
          <w:rFonts w:hint="eastAsia"/>
          <w:sz w:val="24"/>
          <w:szCs w:val="22"/>
          <w:lang w:eastAsia="zh-CN"/>
        </w:rPr>
        <w:t>）</w:t>
      </w:r>
      <w:bookmarkEnd w:id="14"/>
    </w:p>
    <w:sectPr>
      <w:footerReference r:id="rId6"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13AC9A16-CA9D-4223-AD52-C489962CFC68}"/>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B4EB2D66-41B8-41EA-ACF3-9C9CC1F4505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8B4B5EE6-D5FE-4AE0-BA58-F951A8A57054}"/>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TimesNewRomanPSMT">
    <w:altName w:val="Times New Roman"/>
    <w:panose1 w:val="00000000000000000000"/>
    <w:charset w:val="00"/>
    <w:family w:val="roman"/>
    <w:pitch w:val="default"/>
    <w:sig w:usb0="00000000" w:usb1="00000000" w:usb2="00000000" w:usb3="00000000" w:csb0="00000000" w:csb1="00000000"/>
  </w:font>
  <w:font w:name="Sylfaen">
    <w:panose1 w:val="010A0502050306030303"/>
    <w:charset w:val="00"/>
    <w:family w:val="roman"/>
    <w:pitch w:val="default"/>
    <w:sig w:usb0="04000687" w:usb1="00000000" w:usb2="00000000" w:usb3="00000000" w:csb0="2000009F" w:csb1="00000000"/>
  </w:font>
  <w:font w:name="MingLiU">
    <w:altName w:val="PMingLiU-ExtB"/>
    <w:panose1 w:val="02010609000101010101"/>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DotumChe">
    <w:altName w:val="Malgun Gothic"/>
    <w:panose1 w:val="00000000000000000000"/>
    <w:charset w:val="81"/>
    <w:family w:val="modern"/>
    <w:pitch w:val="default"/>
    <w:sig w:usb0="00000000" w:usb1="00000000" w:usb2="00000030" w:usb3="00000000" w:csb0="0008009F" w:csb1="00000000"/>
    <w:embedRegular r:id="rId4" w:fontKey="{358E4910-7418-47A2-A7B0-DA737D44B3E5}"/>
  </w:font>
  <w:font w:name="Malgun Gothic">
    <w:panose1 w:val="020B0503020000020004"/>
    <w:charset w:val="81"/>
    <w:family w:val="auto"/>
    <w:pitch w:val="default"/>
    <w:sig w:usb0="9000002F" w:usb1="29D77CFB" w:usb2="00000012" w:usb3="00000000" w:csb0="00080001" w:csb1="00000000"/>
  </w:font>
  <w:font w:name="Wingdings 2">
    <w:panose1 w:val="05020102010507070707"/>
    <w:charset w:val="02"/>
    <w:family w:val="roman"/>
    <w:pitch w:val="default"/>
    <w:sig w:usb0="00000000" w:usb1="00000000" w:usb2="00000000" w:usb3="00000000" w:csb0="80000000" w:csb1="00000000"/>
    <w:embedRegular r:id="rId5" w:fontKey="{68509C2E-539E-49A6-A7E8-B9591F4CE102}"/>
  </w:font>
  <w:font w:name="Segoe UI Symbol">
    <w:panose1 w:val="020B0502040204020203"/>
    <w:charset w:val="00"/>
    <w:family w:val="swiss"/>
    <w:pitch w:val="default"/>
    <w:sig w:usb0="800001E3" w:usb1="1200FFEF" w:usb2="00040000" w:usb3="04000000" w:csb0="00000001" w:csb1="40000000"/>
    <w:embedRegular r:id="rId6" w:fontKey="{E1CD207F-4227-40E8-B3A3-B4EF7F91A7F8}"/>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F5FFDF">
    <w:pPr>
      <w:pStyle w:val="15"/>
      <w:jc w:val="center"/>
      <w:rPr>
        <w:rFonts w:asciiTheme="minorEastAsia" w:hAnsiTheme="minorEastAsia"/>
        <w:szCs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3CAEAB">
    <w:pPr>
      <w:pStyle w:val="15"/>
      <w:jc w:val="left"/>
      <w:rPr>
        <w:rFonts w:asciiTheme="minorEastAsia" w:hAnsiTheme="minorEastAsia" w:eastAsiaTheme="minorEastAsia"/>
        <w:sz w:val="21"/>
        <w:szCs w:val="21"/>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892220">
    <w:pPr>
      <w:pStyle w:val="15"/>
      <w:jc w:val="left"/>
      <w:rPr>
        <w:rFonts w:asciiTheme="minorEastAsia" w:hAnsiTheme="minorEastAsia" w:eastAsiaTheme="minorEastAsia"/>
        <w:sz w:val="21"/>
        <w:szCs w:val="21"/>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B2781F">
    <w:pPr>
      <w:pBdr>
        <w:bottom w:val="none" w:color="auto" w:sz="0" w:space="1"/>
      </w:pBdr>
      <w:snapToGrid w:val="0"/>
      <w:rPr>
        <w:rFonts w:hint="eastAsia" w:ascii="Times New Roman" w:hAnsi="Times New Roman" w:eastAsia="宋体" w:cs="Times New Roman"/>
        <w:sz w:val="24"/>
        <w:szCs w:val="24"/>
        <w:lang w:eastAsia="zh-CN"/>
      </w:rPr>
    </w:pPr>
    <w:r>
      <w:rPr>
        <w:rFonts w:ascii="Times New Roman" w:hAnsi="Times New Roman" w:eastAsia="宋体" w:cs="Times New Roman"/>
        <w:color w:val="000000"/>
        <w:sz w:val="18"/>
        <w:szCs w:val="18"/>
        <w:u w:val="single"/>
      </w:rPr>
      <w:drawing>
        <wp:inline distT="0" distB="0" distL="114300" distR="114300">
          <wp:extent cx="457835" cy="443230"/>
          <wp:effectExtent l="0" t="0" r="18415" b="1397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1"/>
                  <a:stretch>
                    <a:fillRect/>
                  </a:stretch>
                </pic:blipFill>
                <pic:spPr>
                  <a:xfrm>
                    <a:off x="0" y="0"/>
                    <a:ext cx="457835" cy="443230"/>
                  </a:xfrm>
                  <a:prstGeom prst="rect">
                    <a:avLst/>
                  </a:prstGeom>
                  <a:noFill/>
                  <a:ln>
                    <a:noFill/>
                  </a:ln>
                </pic:spPr>
              </pic:pic>
            </a:graphicData>
          </a:graphic>
        </wp:inline>
      </w:drawing>
    </w:r>
    <w:r>
      <w:rPr>
        <w:rFonts w:hint="eastAsia" w:ascii="Times New Roman" w:hAnsi="Times New Roman" w:eastAsia="宋体" w:cs="Times New Roman"/>
        <w:color w:val="000000"/>
        <w:sz w:val="18"/>
        <w:szCs w:val="18"/>
        <w:u w:val="single"/>
      </w:rPr>
      <w:t xml:space="preserve">                </w:t>
    </w:r>
    <w:r>
      <w:rPr>
        <w:rFonts w:hint="eastAsia" w:ascii="Times New Roman" w:hAnsi="Times New Roman" w:eastAsia="宋体" w:cs="Times New Roman"/>
        <w:color w:val="000000"/>
        <w:sz w:val="18"/>
        <w:szCs w:val="18"/>
        <w:u w:val="single"/>
        <w:lang w:val="en-US" w:eastAsia="zh-CN"/>
      </w:rPr>
      <w:t xml:space="preserve">         </w:t>
    </w:r>
    <w:r>
      <w:rPr>
        <w:rFonts w:hint="eastAsia" w:ascii="Times New Roman" w:hAnsi="Times New Roman" w:eastAsia="宋体" w:cs="Times New Roman"/>
        <w:sz w:val="18"/>
        <w:szCs w:val="18"/>
        <w:u w:val="single"/>
      </w:rPr>
      <w:t xml:space="preserve"> </w:t>
    </w:r>
    <w:r>
      <w:rPr>
        <w:rFonts w:hint="eastAsia" w:ascii="Times New Roman" w:hAnsi="Times New Roman" w:eastAsia="宋体" w:cs="Times New Roman"/>
        <w:sz w:val="24"/>
        <w:szCs w:val="24"/>
        <w:u w:val="single"/>
      </w:rPr>
      <w:t>合肥文旅博览集团有限公司</w:t>
    </w:r>
    <w:r>
      <w:rPr>
        <w:rFonts w:hint="eastAsia" w:ascii="Times New Roman" w:hAnsi="Times New Roman" w:eastAsia="宋体" w:cs="Times New Roman"/>
        <w:sz w:val="24"/>
        <w:szCs w:val="24"/>
        <w:u w:val="single"/>
        <w:lang w:val="en-US" w:eastAsia="zh-CN"/>
      </w:rPr>
      <w:t>询价文件</w:t>
    </w:r>
    <w:r>
      <w:rPr>
        <w:rFonts w:hint="eastAsia" w:ascii="Times New Roman" w:hAnsi="Times New Roman" w:eastAsia="宋体" w:cs="Times New Roman"/>
        <w:sz w:val="24"/>
        <w:szCs w:val="24"/>
        <w:u w:val="single"/>
        <w:lang w:eastAsia="zh-CN"/>
      </w:rPr>
      <w:t>（</w:t>
    </w:r>
    <w:r>
      <w:rPr>
        <w:rFonts w:hint="eastAsia" w:ascii="Times New Roman" w:hAnsi="Times New Roman" w:eastAsia="宋体" w:cs="Times New Roman"/>
        <w:sz w:val="24"/>
        <w:szCs w:val="24"/>
        <w:u w:val="single"/>
        <w:lang w:val="en-US" w:eastAsia="zh-CN"/>
      </w:rPr>
      <w:t>服务</w:t>
    </w:r>
    <w:r>
      <w:rPr>
        <w:rFonts w:hint="eastAsia" w:ascii="Times New Roman" w:hAnsi="Times New Roman" w:eastAsia="宋体" w:cs="Times New Roman"/>
        <w:sz w:val="24"/>
        <w:szCs w:val="24"/>
        <w:u w:val="single"/>
      </w:rPr>
      <w:t>类</w:t>
    </w:r>
    <w:r>
      <w:rPr>
        <w:rFonts w:hint="eastAsia" w:ascii="Times New Roman" w:hAnsi="Times New Roman" w:eastAsia="宋体" w:cs="Times New Roman"/>
        <w:sz w:val="24"/>
        <w:szCs w:val="24"/>
        <w:u w:val="single"/>
        <w:lang w:eastAsia="zh-CN"/>
      </w:rPr>
      <w:t>）</w:t>
    </w:r>
  </w:p>
  <w:p w14:paraId="42301D65">
    <w:pPr>
      <w:pStyle w:val="16"/>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146FA3"/>
    <w:multiLevelType w:val="singleLevel"/>
    <w:tmpl w:val="81146FA3"/>
    <w:lvl w:ilvl="0" w:tentative="0">
      <w:start w:val="1"/>
      <w:numFmt w:val="chineseCounting"/>
      <w:suff w:val="nothing"/>
      <w:lvlText w:val="%1、"/>
      <w:lvlJc w:val="left"/>
      <w:rPr>
        <w:rFonts w:hint="eastAsia"/>
      </w:rPr>
    </w:lvl>
  </w:abstractNum>
  <w:abstractNum w:abstractNumId="1">
    <w:nsid w:val="8AD5DBB4"/>
    <w:multiLevelType w:val="singleLevel"/>
    <w:tmpl w:val="8AD5DBB4"/>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3"/>
  <w:embedTrueTypeFonts/>
  <w:saveSubsetFonts/>
  <w:bordersDoNotSurroundHeader w:val="1"/>
  <w:bordersDoNotSurroundFooter w:val="1"/>
  <w:revisionView w:markup="0"/>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Q4MzNhMmRjNTU4MzE5ZWY2ZjQ5YWI4MTk1MzQ4ZjYifQ=="/>
  </w:docVars>
  <w:rsids>
    <w:rsidRoot w:val="00276BA1"/>
    <w:rsid w:val="0000043F"/>
    <w:rsid w:val="000020D0"/>
    <w:rsid w:val="00002178"/>
    <w:rsid w:val="00003B1C"/>
    <w:rsid w:val="000049DA"/>
    <w:rsid w:val="000056B7"/>
    <w:rsid w:val="000131F7"/>
    <w:rsid w:val="00016B6C"/>
    <w:rsid w:val="00020B57"/>
    <w:rsid w:val="00025724"/>
    <w:rsid w:val="000346AB"/>
    <w:rsid w:val="000378C1"/>
    <w:rsid w:val="00037DBE"/>
    <w:rsid w:val="00042139"/>
    <w:rsid w:val="00042B14"/>
    <w:rsid w:val="00044F49"/>
    <w:rsid w:val="000450C3"/>
    <w:rsid w:val="00046DF9"/>
    <w:rsid w:val="00050A3F"/>
    <w:rsid w:val="00050B55"/>
    <w:rsid w:val="000530EC"/>
    <w:rsid w:val="000544DE"/>
    <w:rsid w:val="00057E76"/>
    <w:rsid w:val="00061134"/>
    <w:rsid w:val="0006460A"/>
    <w:rsid w:val="000648D2"/>
    <w:rsid w:val="0006565F"/>
    <w:rsid w:val="0006758C"/>
    <w:rsid w:val="00070E0E"/>
    <w:rsid w:val="00073C57"/>
    <w:rsid w:val="00076DB7"/>
    <w:rsid w:val="00080FEB"/>
    <w:rsid w:val="000871CC"/>
    <w:rsid w:val="00094D41"/>
    <w:rsid w:val="00097CB9"/>
    <w:rsid w:val="000A6693"/>
    <w:rsid w:val="000A6B73"/>
    <w:rsid w:val="000A7D94"/>
    <w:rsid w:val="000B1511"/>
    <w:rsid w:val="000B54F4"/>
    <w:rsid w:val="000C1DB1"/>
    <w:rsid w:val="000D1414"/>
    <w:rsid w:val="000D2188"/>
    <w:rsid w:val="000D3F37"/>
    <w:rsid w:val="000D69D4"/>
    <w:rsid w:val="000E06F6"/>
    <w:rsid w:val="000E3C74"/>
    <w:rsid w:val="000E3F9B"/>
    <w:rsid w:val="000E6689"/>
    <w:rsid w:val="000F172B"/>
    <w:rsid w:val="000F2198"/>
    <w:rsid w:val="000F39B6"/>
    <w:rsid w:val="000F6B7B"/>
    <w:rsid w:val="00100B0F"/>
    <w:rsid w:val="0010187C"/>
    <w:rsid w:val="001037E3"/>
    <w:rsid w:val="001165D0"/>
    <w:rsid w:val="00116A70"/>
    <w:rsid w:val="0012143A"/>
    <w:rsid w:val="001222C6"/>
    <w:rsid w:val="00132A16"/>
    <w:rsid w:val="00136D80"/>
    <w:rsid w:val="00137C7C"/>
    <w:rsid w:val="00140687"/>
    <w:rsid w:val="00141540"/>
    <w:rsid w:val="00144D72"/>
    <w:rsid w:val="00146421"/>
    <w:rsid w:val="001479CF"/>
    <w:rsid w:val="00155F64"/>
    <w:rsid w:val="00157856"/>
    <w:rsid w:val="00160198"/>
    <w:rsid w:val="00160729"/>
    <w:rsid w:val="00166ED8"/>
    <w:rsid w:val="001714C9"/>
    <w:rsid w:val="001770B6"/>
    <w:rsid w:val="0018119B"/>
    <w:rsid w:val="001844AB"/>
    <w:rsid w:val="00191C9B"/>
    <w:rsid w:val="001944B8"/>
    <w:rsid w:val="00195E11"/>
    <w:rsid w:val="00196DA3"/>
    <w:rsid w:val="00197AC4"/>
    <w:rsid w:val="001A5D34"/>
    <w:rsid w:val="001A68E5"/>
    <w:rsid w:val="001B2A54"/>
    <w:rsid w:val="001B5014"/>
    <w:rsid w:val="001B5961"/>
    <w:rsid w:val="001B7327"/>
    <w:rsid w:val="001C2B92"/>
    <w:rsid w:val="001C67F2"/>
    <w:rsid w:val="001D3C19"/>
    <w:rsid w:val="001D53B4"/>
    <w:rsid w:val="001E3914"/>
    <w:rsid w:val="001F27F8"/>
    <w:rsid w:val="001F28D2"/>
    <w:rsid w:val="001F2F45"/>
    <w:rsid w:val="001F3023"/>
    <w:rsid w:val="001F35F6"/>
    <w:rsid w:val="001F74CA"/>
    <w:rsid w:val="00200340"/>
    <w:rsid w:val="002003B6"/>
    <w:rsid w:val="00202248"/>
    <w:rsid w:val="00203577"/>
    <w:rsid w:val="002049B4"/>
    <w:rsid w:val="0020520B"/>
    <w:rsid w:val="00205D11"/>
    <w:rsid w:val="00213C55"/>
    <w:rsid w:val="002178B1"/>
    <w:rsid w:val="00223CF4"/>
    <w:rsid w:val="00224C4A"/>
    <w:rsid w:val="0023407E"/>
    <w:rsid w:val="00240278"/>
    <w:rsid w:val="00240B40"/>
    <w:rsid w:val="002440D8"/>
    <w:rsid w:val="00244182"/>
    <w:rsid w:val="002530E9"/>
    <w:rsid w:val="00260B94"/>
    <w:rsid w:val="00264F2E"/>
    <w:rsid w:val="00271245"/>
    <w:rsid w:val="00274A9E"/>
    <w:rsid w:val="00276292"/>
    <w:rsid w:val="00276BA1"/>
    <w:rsid w:val="00277094"/>
    <w:rsid w:val="00277264"/>
    <w:rsid w:val="00286D62"/>
    <w:rsid w:val="002872DE"/>
    <w:rsid w:val="00287EF5"/>
    <w:rsid w:val="002927A3"/>
    <w:rsid w:val="00295AF5"/>
    <w:rsid w:val="002A1A1D"/>
    <w:rsid w:val="002A210D"/>
    <w:rsid w:val="002A28AD"/>
    <w:rsid w:val="002B5318"/>
    <w:rsid w:val="002B6D27"/>
    <w:rsid w:val="002D2965"/>
    <w:rsid w:val="002D3D02"/>
    <w:rsid w:val="002D4CB5"/>
    <w:rsid w:val="002D684B"/>
    <w:rsid w:val="002E3B26"/>
    <w:rsid w:val="002E4AB8"/>
    <w:rsid w:val="00300733"/>
    <w:rsid w:val="00310070"/>
    <w:rsid w:val="003110EC"/>
    <w:rsid w:val="00315CFF"/>
    <w:rsid w:val="00327C92"/>
    <w:rsid w:val="00333292"/>
    <w:rsid w:val="003344E7"/>
    <w:rsid w:val="003347FC"/>
    <w:rsid w:val="0033580B"/>
    <w:rsid w:val="003365E7"/>
    <w:rsid w:val="003378D5"/>
    <w:rsid w:val="003405C8"/>
    <w:rsid w:val="003473D7"/>
    <w:rsid w:val="00351AC8"/>
    <w:rsid w:val="00353075"/>
    <w:rsid w:val="00360BB3"/>
    <w:rsid w:val="00362A66"/>
    <w:rsid w:val="00363ACD"/>
    <w:rsid w:val="00363E02"/>
    <w:rsid w:val="00373A96"/>
    <w:rsid w:val="00381860"/>
    <w:rsid w:val="003826C2"/>
    <w:rsid w:val="00383728"/>
    <w:rsid w:val="0038382B"/>
    <w:rsid w:val="00384BC2"/>
    <w:rsid w:val="00391586"/>
    <w:rsid w:val="00394128"/>
    <w:rsid w:val="003947A4"/>
    <w:rsid w:val="00395235"/>
    <w:rsid w:val="0039561A"/>
    <w:rsid w:val="00397C7D"/>
    <w:rsid w:val="003A004F"/>
    <w:rsid w:val="003B3120"/>
    <w:rsid w:val="003B4130"/>
    <w:rsid w:val="003B67D3"/>
    <w:rsid w:val="003B715B"/>
    <w:rsid w:val="003C090D"/>
    <w:rsid w:val="003D1D14"/>
    <w:rsid w:val="003D596D"/>
    <w:rsid w:val="003D6C7C"/>
    <w:rsid w:val="003D6EFB"/>
    <w:rsid w:val="003D7E52"/>
    <w:rsid w:val="003E25C6"/>
    <w:rsid w:val="003F145B"/>
    <w:rsid w:val="004011AA"/>
    <w:rsid w:val="0040202C"/>
    <w:rsid w:val="00405168"/>
    <w:rsid w:val="00406508"/>
    <w:rsid w:val="0041456E"/>
    <w:rsid w:val="00414F7E"/>
    <w:rsid w:val="004164F8"/>
    <w:rsid w:val="00416800"/>
    <w:rsid w:val="00416808"/>
    <w:rsid w:val="004316E6"/>
    <w:rsid w:val="004427B7"/>
    <w:rsid w:val="0044349F"/>
    <w:rsid w:val="00445F1F"/>
    <w:rsid w:val="00451F60"/>
    <w:rsid w:val="0045237F"/>
    <w:rsid w:val="00452BB2"/>
    <w:rsid w:val="0045656D"/>
    <w:rsid w:val="00462D98"/>
    <w:rsid w:val="004630C1"/>
    <w:rsid w:val="00467C74"/>
    <w:rsid w:val="00472A44"/>
    <w:rsid w:val="00473A89"/>
    <w:rsid w:val="00475899"/>
    <w:rsid w:val="00482C78"/>
    <w:rsid w:val="004874AE"/>
    <w:rsid w:val="00492D00"/>
    <w:rsid w:val="00494D24"/>
    <w:rsid w:val="004951D1"/>
    <w:rsid w:val="004A27D0"/>
    <w:rsid w:val="004A4D67"/>
    <w:rsid w:val="004D366E"/>
    <w:rsid w:val="004D3D4B"/>
    <w:rsid w:val="004D5498"/>
    <w:rsid w:val="004D66A5"/>
    <w:rsid w:val="004D6B00"/>
    <w:rsid w:val="004E0260"/>
    <w:rsid w:val="004E1D50"/>
    <w:rsid w:val="004E7C2E"/>
    <w:rsid w:val="004F0396"/>
    <w:rsid w:val="00501382"/>
    <w:rsid w:val="00510798"/>
    <w:rsid w:val="00524168"/>
    <w:rsid w:val="00524A11"/>
    <w:rsid w:val="00527768"/>
    <w:rsid w:val="005327FB"/>
    <w:rsid w:val="00533FCA"/>
    <w:rsid w:val="0054372A"/>
    <w:rsid w:val="00546D49"/>
    <w:rsid w:val="005518AE"/>
    <w:rsid w:val="005521FF"/>
    <w:rsid w:val="005535FD"/>
    <w:rsid w:val="00557377"/>
    <w:rsid w:val="005616B5"/>
    <w:rsid w:val="00574E6F"/>
    <w:rsid w:val="00581E19"/>
    <w:rsid w:val="00582882"/>
    <w:rsid w:val="00583FE7"/>
    <w:rsid w:val="00586B96"/>
    <w:rsid w:val="00590CA2"/>
    <w:rsid w:val="00591629"/>
    <w:rsid w:val="005940F8"/>
    <w:rsid w:val="00597B15"/>
    <w:rsid w:val="005A044C"/>
    <w:rsid w:val="005A5487"/>
    <w:rsid w:val="005B06FD"/>
    <w:rsid w:val="005B5C95"/>
    <w:rsid w:val="005B7713"/>
    <w:rsid w:val="005D0200"/>
    <w:rsid w:val="005D0D6E"/>
    <w:rsid w:val="005D44EF"/>
    <w:rsid w:val="005D4814"/>
    <w:rsid w:val="005D5112"/>
    <w:rsid w:val="005E39CC"/>
    <w:rsid w:val="005F3914"/>
    <w:rsid w:val="005F3B5A"/>
    <w:rsid w:val="005F686F"/>
    <w:rsid w:val="005F6AB4"/>
    <w:rsid w:val="006006F5"/>
    <w:rsid w:val="00601585"/>
    <w:rsid w:val="006028A0"/>
    <w:rsid w:val="00610A66"/>
    <w:rsid w:val="006114A4"/>
    <w:rsid w:val="00613177"/>
    <w:rsid w:val="00613D56"/>
    <w:rsid w:val="00613F7C"/>
    <w:rsid w:val="00614BF2"/>
    <w:rsid w:val="00623DE2"/>
    <w:rsid w:val="00627601"/>
    <w:rsid w:val="006300D0"/>
    <w:rsid w:val="00632012"/>
    <w:rsid w:val="00634694"/>
    <w:rsid w:val="00636517"/>
    <w:rsid w:val="00637690"/>
    <w:rsid w:val="00640B1D"/>
    <w:rsid w:val="00640E1E"/>
    <w:rsid w:val="0064389A"/>
    <w:rsid w:val="00645442"/>
    <w:rsid w:val="00647FB7"/>
    <w:rsid w:val="00651CC1"/>
    <w:rsid w:val="006525CD"/>
    <w:rsid w:val="00653F7F"/>
    <w:rsid w:val="00662EE8"/>
    <w:rsid w:val="00663813"/>
    <w:rsid w:val="00664AFD"/>
    <w:rsid w:val="00667567"/>
    <w:rsid w:val="0067391A"/>
    <w:rsid w:val="00674173"/>
    <w:rsid w:val="0067535A"/>
    <w:rsid w:val="00682560"/>
    <w:rsid w:val="00683CA0"/>
    <w:rsid w:val="00686FF3"/>
    <w:rsid w:val="00690DB1"/>
    <w:rsid w:val="00693404"/>
    <w:rsid w:val="00693702"/>
    <w:rsid w:val="006953D9"/>
    <w:rsid w:val="0069569F"/>
    <w:rsid w:val="006B104B"/>
    <w:rsid w:val="006B1242"/>
    <w:rsid w:val="006B1DBC"/>
    <w:rsid w:val="006B63B7"/>
    <w:rsid w:val="006B7D9A"/>
    <w:rsid w:val="006C06D9"/>
    <w:rsid w:val="006C10D1"/>
    <w:rsid w:val="006C4772"/>
    <w:rsid w:val="006C48A1"/>
    <w:rsid w:val="006C5716"/>
    <w:rsid w:val="006C74A9"/>
    <w:rsid w:val="006D07DE"/>
    <w:rsid w:val="006D2222"/>
    <w:rsid w:val="006E06D9"/>
    <w:rsid w:val="006E1D40"/>
    <w:rsid w:val="006E2E1F"/>
    <w:rsid w:val="006E7016"/>
    <w:rsid w:val="006F24DB"/>
    <w:rsid w:val="006F5B15"/>
    <w:rsid w:val="006F5FFF"/>
    <w:rsid w:val="006F6E33"/>
    <w:rsid w:val="006F7AF3"/>
    <w:rsid w:val="00710804"/>
    <w:rsid w:val="0071149E"/>
    <w:rsid w:val="00711FC6"/>
    <w:rsid w:val="007130B1"/>
    <w:rsid w:val="00715071"/>
    <w:rsid w:val="00721261"/>
    <w:rsid w:val="007231E9"/>
    <w:rsid w:val="007240F7"/>
    <w:rsid w:val="00727C59"/>
    <w:rsid w:val="00730271"/>
    <w:rsid w:val="00734E5D"/>
    <w:rsid w:val="00736013"/>
    <w:rsid w:val="00737661"/>
    <w:rsid w:val="007414E0"/>
    <w:rsid w:val="00745C94"/>
    <w:rsid w:val="007476EA"/>
    <w:rsid w:val="00755D75"/>
    <w:rsid w:val="00756245"/>
    <w:rsid w:val="00760A01"/>
    <w:rsid w:val="00761662"/>
    <w:rsid w:val="00762106"/>
    <w:rsid w:val="00764043"/>
    <w:rsid w:val="00766B9C"/>
    <w:rsid w:val="00772477"/>
    <w:rsid w:val="007757CF"/>
    <w:rsid w:val="007772F4"/>
    <w:rsid w:val="0078128F"/>
    <w:rsid w:val="0078683C"/>
    <w:rsid w:val="00790EDB"/>
    <w:rsid w:val="00791538"/>
    <w:rsid w:val="0079326E"/>
    <w:rsid w:val="00793696"/>
    <w:rsid w:val="00796EDE"/>
    <w:rsid w:val="007A0DF9"/>
    <w:rsid w:val="007A5A58"/>
    <w:rsid w:val="007B1C56"/>
    <w:rsid w:val="007B4996"/>
    <w:rsid w:val="007B4F12"/>
    <w:rsid w:val="007B77B7"/>
    <w:rsid w:val="007C3CD5"/>
    <w:rsid w:val="007C5CD7"/>
    <w:rsid w:val="007C61EF"/>
    <w:rsid w:val="007D1C0D"/>
    <w:rsid w:val="007D2D23"/>
    <w:rsid w:val="007D37AB"/>
    <w:rsid w:val="007D3AD7"/>
    <w:rsid w:val="007E05C9"/>
    <w:rsid w:val="007E27D6"/>
    <w:rsid w:val="007E3921"/>
    <w:rsid w:val="00801028"/>
    <w:rsid w:val="00803793"/>
    <w:rsid w:val="00807493"/>
    <w:rsid w:val="008149FD"/>
    <w:rsid w:val="00817A01"/>
    <w:rsid w:val="00825E35"/>
    <w:rsid w:val="00825E64"/>
    <w:rsid w:val="00826194"/>
    <w:rsid w:val="008334F8"/>
    <w:rsid w:val="008341AA"/>
    <w:rsid w:val="00847E67"/>
    <w:rsid w:val="00847ED2"/>
    <w:rsid w:val="00854042"/>
    <w:rsid w:val="00854E88"/>
    <w:rsid w:val="00863196"/>
    <w:rsid w:val="00863FDD"/>
    <w:rsid w:val="00871F99"/>
    <w:rsid w:val="00876461"/>
    <w:rsid w:val="00876659"/>
    <w:rsid w:val="0087734C"/>
    <w:rsid w:val="00882141"/>
    <w:rsid w:val="008826D0"/>
    <w:rsid w:val="008874D9"/>
    <w:rsid w:val="008922A8"/>
    <w:rsid w:val="00895BD5"/>
    <w:rsid w:val="0089773E"/>
    <w:rsid w:val="008A1587"/>
    <w:rsid w:val="008A16C4"/>
    <w:rsid w:val="008A6FED"/>
    <w:rsid w:val="008B39C5"/>
    <w:rsid w:val="008B51AA"/>
    <w:rsid w:val="008B67A6"/>
    <w:rsid w:val="008C0158"/>
    <w:rsid w:val="008C67F2"/>
    <w:rsid w:val="008D064A"/>
    <w:rsid w:val="008D2B0F"/>
    <w:rsid w:val="008D6228"/>
    <w:rsid w:val="008E449E"/>
    <w:rsid w:val="008F187F"/>
    <w:rsid w:val="008F402F"/>
    <w:rsid w:val="008F76E8"/>
    <w:rsid w:val="008F7CD0"/>
    <w:rsid w:val="009078A1"/>
    <w:rsid w:val="00911E9C"/>
    <w:rsid w:val="00917405"/>
    <w:rsid w:val="00920F7C"/>
    <w:rsid w:val="00934CAE"/>
    <w:rsid w:val="0094257D"/>
    <w:rsid w:val="00942D9A"/>
    <w:rsid w:val="009435AB"/>
    <w:rsid w:val="009445D0"/>
    <w:rsid w:val="0095467C"/>
    <w:rsid w:val="00954A61"/>
    <w:rsid w:val="00955C6F"/>
    <w:rsid w:val="00966C7B"/>
    <w:rsid w:val="009701DC"/>
    <w:rsid w:val="009715D8"/>
    <w:rsid w:val="00985C4B"/>
    <w:rsid w:val="00986236"/>
    <w:rsid w:val="00993E5E"/>
    <w:rsid w:val="00995BF9"/>
    <w:rsid w:val="009A0CAF"/>
    <w:rsid w:val="009A1474"/>
    <w:rsid w:val="009A2207"/>
    <w:rsid w:val="009A4D84"/>
    <w:rsid w:val="009B1925"/>
    <w:rsid w:val="009B4399"/>
    <w:rsid w:val="009B6C42"/>
    <w:rsid w:val="009C051B"/>
    <w:rsid w:val="009D31F7"/>
    <w:rsid w:val="009D32C2"/>
    <w:rsid w:val="009D3BBD"/>
    <w:rsid w:val="009D50DB"/>
    <w:rsid w:val="009D693F"/>
    <w:rsid w:val="009D7481"/>
    <w:rsid w:val="009D74F6"/>
    <w:rsid w:val="009E0512"/>
    <w:rsid w:val="009E324B"/>
    <w:rsid w:val="009E3A0A"/>
    <w:rsid w:val="009F174D"/>
    <w:rsid w:val="009F3E91"/>
    <w:rsid w:val="00A1499B"/>
    <w:rsid w:val="00A1537A"/>
    <w:rsid w:val="00A27403"/>
    <w:rsid w:val="00A314C2"/>
    <w:rsid w:val="00A40C7A"/>
    <w:rsid w:val="00A6163A"/>
    <w:rsid w:val="00A63E86"/>
    <w:rsid w:val="00A63EE7"/>
    <w:rsid w:val="00A65A1C"/>
    <w:rsid w:val="00A74F26"/>
    <w:rsid w:val="00A757C3"/>
    <w:rsid w:val="00A75E5B"/>
    <w:rsid w:val="00A763E4"/>
    <w:rsid w:val="00A7684A"/>
    <w:rsid w:val="00A76B69"/>
    <w:rsid w:val="00A83B69"/>
    <w:rsid w:val="00A86533"/>
    <w:rsid w:val="00A91CA2"/>
    <w:rsid w:val="00A92FB8"/>
    <w:rsid w:val="00A948F1"/>
    <w:rsid w:val="00AA1D7D"/>
    <w:rsid w:val="00AA3066"/>
    <w:rsid w:val="00AB139D"/>
    <w:rsid w:val="00AB3EFB"/>
    <w:rsid w:val="00AB4A98"/>
    <w:rsid w:val="00AC0574"/>
    <w:rsid w:val="00AC0B05"/>
    <w:rsid w:val="00AC3CEB"/>
    <w:rsid w:val="00AC6022"/>
    <w:rsid w:val="00AD079A"/>
    <w:rsid w:val="00AD1890"/>
    <w:rsid w:val="00AD196F"/>
    <w:rsid w:val="00AE0687"/>
    <w:rsid w:val="00AE2149"/>
    <w:rsid w:val="00AE33AE"/>
    <w:rsid w:val="00AE3785"/>
    <w:rsid w:val="00AE3F91"/>
    <w:rsid w:val="00AE452F"/>
    <w:rsid w:val="00AE76E6"/>
    <w:rsid w:val="00AF2B21"/>
    <w:rsid w:val="00AF6F73"/>
    <w:rsid w:val="00B00983"/>
    <w:rsid w:val="00B0267C"/>
    <w:rsid w:val="00B039E3"/>
    <w:rsid w:val="00B22838"/>
    <w:rsid w:val="00B24255"/>
    <w:rsid w:val="00B33E95"/>
    <w:rsid w:val="00B3720B"/>
    <w:rsid w:val="00B37358"/>
    <w:rsid w:val="00B4730C"/>
    <w:rsid w:val="00B541BC"/>
    <w:rsid w:val="00B54808"/>
    <w:rsid w:val="00B5558A"/>
    <w:rsid w:val="00B56513"/>
    <w:rsid w:val="00B56B2E"/>
    <w:rsid w:val="00B64376"/>
    <w:rsid w:val="00B70494"/>
    <w:rsid w:val="00B7401F"/>
    <w:rsid w:val="00B740A4"/>
    <w:rsid w:val="00B76345"/>
    <w:rsid w:val="00B806C3"/>
    <w:rsid w:val="00B84FCA"/>
    <w:rsid w:val="00B9089F"/>
    <w:rsid w:val="00B91AEE"/>
    <w:rsid w:val="00B93F8C"/>
    <w:rsid w:val="00B95F5A"/>
    <w:rsid w:val="00B96EAD"/>
    <w:rsid w:val="00BA1CA7"/>
    <w:rsid w:val="00BA68CD"/>
    <w:rsid w:val="00BA79F5"/>
    <w:rsid w:val="00BB1F0D"/>
    <w:rsid w:val="00BB3AB6"/>
    <w:rsid w:val="00BB7313"/>
    <w:rsid w:val="00BB766D"/>
    <w:rsid w:val="00BB7A64"/>
    <w:rsid w:val="00BC007B"/>
    <w:rsid w:val="00BC26BA"/>
    <w:rsid w:val="00BC35F8"/>
    <w:rsid w:val="00BD65C6"/>
    <w:rsid w:val="00BF3696"/>
    <w:rsid w:val="00BF376F"/>
    <w:rsid w:val="00BF46A6"/>
    <w:rsid w:val="00C0634C"/>
    <w:rsid w:val="00C06545"/>
    <w:rsid w:val="00C06BA4"/>
    <w:rsid w:val="00C10EDE"/>
    <w:rsid w:val="00C1161C"/>
    <w:rsid w:val="00C172D1"/>
    <w:rsid w:val="00C220FC"/>
    <w:rsid w:val="00C24DFA"/>
    <w:rsid w:val="00C46399"/>
    <w:rsid w:val="00C46A36"/>
    <w:rsid w:val="00C47037"/>
    <w:rsid w:val="00C53625"/>
    <w:rsid w:val="00C602C1"/>
    <w:rsid w:val="00C60EC3"/>
    <w:rsid w:val="00C61AFE"/>
    <w:rsid w:val="00C62248"/>
    <w:rsid w:val="00C63FC0"/>
    <w:rsid w:val="00C65FC2"/>
    <w:rsid w:val="00C66392"/>
    <w:rsid w:val="00C6647F"/>
    <w:rsid w:val="00C74C5E"/>
    <w:rsid w:val="00C81F28"/>
    <w:rsid w:val="00C827A2"/>
    <w:rsid w:val="00C82B69"/>
    <w:rsid w:val="00C83483"/>
    <w:rsid w:val="00C853A3"/>
    <w:rsid w:val="00C86146"/>
    <w:rsid w:val="00C8698F"/>
    <w:rsid w:val="00C91B28"/>
    <w:rsid w:val="00C91F3A"/>
    <w:rsid w:val="00CA165D"/>
    <w:rsid w:val="00CA6293"/>
    <w:rsid w:val="00CB5797"/>
    <w:rsid w:val="00CC1202"/>
    <w:rsid w:val="00CC7D56"/>
    <w:rsid w:val="00CD09E1"/>
    <w:rsid w:val="00CD6202"/>
    <w:rsid w:val="00CE171A"/>
    <w:rsid w:val="00CE4913"/>
    <w:rsid w:val="00CE66BD"/>
    <w:rsid w:val="00CE7EDD"/>
    <w:rsid w:val="00CF0671"/>
    <w:rsid w:val="00CF44AD"/>
    <w:rsid w:val="00CF4FC0"/>
    <w:rsid w:val="00D1072F"/>
    <w:rsid w:val="00D108A5"/>
    <w:rsid w:val="00D14585"/>
    <w:rsid w:val="00D20EFF"/>
    <w:rsid w:val="00D25B46"/>
    <w:rsid w:val="00D34F0D"/>
    <w:rsid w:val="00D3516E"/>
    <w:rsid w:val="00D36E4D"/>
    <w:rsid w:val="00D4064C"/>
    <w:rsid w:val="00D4517C"/>
    <w:rsid w:val="00D51A68"/>
    <w:rsid w:val="00D5364E"/>
    <w:rsid w:val="00D53ED8"/>
    <w:rsid w:val="00D64857"/>
    <w:rsid w:val="00D6493A"/>
    <w:rsid w:val="00D67875"/>
    <w:rsid w:val="00D71E86"/>
    <w:rsid w:val="00D731C6"/>
    <w:rsid w:val="00D745C5"/>
    <w:rsid w:val="00D75327"/>
    <w:rsid w:val="00D75BAF"/>
    <w:rsid w:val="00D80C36"/>
    <w:rsid w:val="00D86779"/>
    <w:rsid w:val="00D86EE1"/>
    <w:rsid w:val="00D93F76"/>
    <w:rsid w:val="00D96126"/>
    <w:rsid w:val="00DB1FFF"/>
    <w:rsid w:val="00DB4B1C"/>
    <w:rsid w:val="00DB5085"/>
    <w:rsid w:val="00DC1062"/>
    <w:rsid w:val="00DC132C"/>
    <w:rsid w:val="00DC4543"/>
    <w:rsid w:val="00DD1224"/>
    <w:rsid w:val="00DD2560"/>
    <w:rsid w:val="00DD43F0"/>
    <w:rsid w:val="00DD44DE"/>
    <w:rsid w:val="00DE09AB"/>
    <w:rsid w:val="00DE4A3F"/>
    <w:rsid w:val="00DE6121"/>
    <w:rsid w:val="00DF4367"/>
    <w:rsid w:val="00E0574A"/>
    <w:rsid w:val="00E07412"/>
    <w:rsid w:val="00E11F17"/>
    <w:rsid w:val="00E1243D"/>
    <w:rsid w:val="00E12742"/>
    <w:rsid w:val="00E146D4"/>
    <w:rsid w:val="00E20976"/>
    <w:rsid w:val="00E22B44"/>
    <w:rsid w:val="00E30ACD"/>
    <w:rsid w:val="00E32735"/>
    <w:rsid w:val="00E662C9"/>
    <w:rsid w:val="00E66E36"/>
    <w:rsid w:val="00E66FE7"/>
    <w:rsid w:val="00E702ED"/>
    <w:rsid w:val="00E709A4"/>
    <w:rsid w:val="00E726ED"/>
    <w:rsid w:val="00E73822"/>
    <w:rsid w:val="00E772DB"/>
    <w:rsid w:val="00E81B8B"/>
    <w:rsid w:val="00E86012"/>
    <w:rsid w:val="00E86BAB"/>
    <w:rsid w:val="00E91B84"/>
    <w:rsid w:val="00E94E10"/>
    <w:rsid w:val="00E9502E"/>
    <w:rsid w:val="00E96743"/>
    <w:rsid w:val="00E96A42"/>
    <w:rsid w:val="00EA0A36"/>
    <w:rsid w:val="00EA49C5"/>
    <w:rsid w:val="00EA5107"/>
    <w:rsid w:val="00EA5D8A"/>
    <w:rsid w:val="00EB02A0"/>
    <w:rsid w:val="00EB0C34"/>
    <w:rsid w:val="00EB5027"/>
    <w:rsid w:val="00EC1836"/>
    <w:rsid w:val="00EC3990"/>
    <w:rsid w:val="00EC484B"/>
    <w:rsid w:val="00EC795F"/>
    <w:rsid w:val="00ED15FA"/>
    <w:rsid w:val="00ED45E5"/>
    <w:rsid w:val="00EE275B"/>
    <w:rsid w:val="00EE6E9A"/>
    <w:rsid w:val="00EF0BF1"/>
    <w:rsid w:val="00EF2AC4"/>
    <w:rsid w:val="00EF38E4"/>
    <w:rsid w:val="00EF397E"/>
    <w:rsid w:val="00EF5FC8"/>
    <w:rsid w:val="00F04779"/>
    <w:rsid w:val="00F06F68"/>
    <w:rsid w:val="00F07993"/>
    <w:rsid w:val="00F105B8"/>
    <w:rsid w:val="00F11930"/>
    <w:rsid w:val="00F1713B"/>
    <w:rsid w:val="00F2165E"/>
    <w:rsid w:val="00F24C2D"/>
    <w:rsid w:val="00F27356"/>
    <w:rsid w:val="00F32A81"/>
    <w:rsid w:val="00F3639E"/>
    <w:rsid w:val="00F40728"/>
    <w:rsid w:val="00F41324"/>
    <w:rsid w:val="00F436D9"/>
    <w:rsid w:val="00F46998"/>
    <w:rsid w:val="00F47100"/>
    <w:rsid w:val="00F5382D"/>
    <w:rsid w:val="00F53D9C"/>
    <w:rsid w:val="00F5462B"/>
    <w:rsid w:val="00F634AD"/>
    <w:rsid w:val="00F63677"/>
    <w:rsid w:val="00F75B81"/>
    <w:rsid w:val="00F75D8A"/>
    <w:rsid w:val="00F804C4"/>
    <w:rsid w:val="00F809CE"/>
    <w:rsid w:val="00F82F83"/>
    <w:rsid w:val="00F82FED"/>
    <w:rsid w:val="00F832E5"/>
    <w:rsid w:val="00F87D65"/>
    <w:rsid w:val="00F92B30"/>
    <w:rsid w:val="00F933B9"/>
    <w:rsid w:val="00F94674"/>
    <w:rsid w:val="00F94919"/>
    <w:rsid w:val="00F94A59"/>
    <w:rsid w:val="00FA25B6"/>
    <w:rsid w:val="00FA2FAF"/>
    <w:rsid w:val="00FA64B1"/>
    <w:rsid w:val="00FA70F3"/>
    <w:rsid w:val="00FA71CD"/>
    <w:rsid w:val="00FB0453"/>
    <w:rsid w:val="00FB0C07"/>
    <w:rsid w:val="00FB298D"/>
    <w:rsid w:val="00FC1439"/>
    <w:rsid w:val="00FC724B"/>
    <w:rsid w:val="00FC7910"/>
    <w:rsid w:val="00FF0DA7"/>
    <w:rsid w:val="00FF1022"/>
    <w:rsid w:val="00FF44E0"/>
    <w:rsid w:val="00FF6C72"/>
    <w:rsid w:val="00FF783A"/>
    <w:rsid w:val="01EF4560"/>
    <w:rsid w:val="03A366B8"/>
    <w:rsid w:val="03AF0B69"/>
    <w:rsid w:val="04096F7B"/>
    <w:rsid w:val="04620439"/>
    <w:rsid w:val="05EC3108"/>
    <w:rsid w:val="06257970"/>
    <w:rsid w:val="0874206E"/>
    <w:rsid w:val="094A1BE5"/>
    <w:rsid w:val="097D52B6"/>
    <w:rsid w:val="09B554AF"/>
    <w:rsid w:val="0BEF5F39"/>
    <w:rsid w:val="0DAB22C6"/>
    <w:rsid w:val="11554019"/>
    <w:rsid w:val="129462CC"/>
    <w:rsid w:val="13397BCE"/>
    <w:rsid w:val="14717EAE"/>
    <w:rsid w:val="17356927"/>
    <w:rsid w:val="18B232E6"/>
    <w:rsid w:val="18F71640"/>
    <w:rsid w:val="19A4731C"/>
    <w:rsid w:val="19CC1946"/>
    <w:rsid w:val="1A357A52"/>
    <w:rsid w:val="1A455FB4"/>
    <w:rsid w:val="1A6A3C67"/>
    <w:rsid w:val="1A6B5E42"/>
    <w:rsid w:val="1AF96A3E"/>
    <w:rsid w:val="1C1F6775"/>
    <w:rsid w:val="1C9D605B"/>
    <w:rsid w:val="1CDB6B83"/>
    <w:rsid w:val="1D1A5BC6"/>
    <w:rsid w:val="1D7719BD"/>
    <w:rsid w:val="1DAA2521"/>
    <w:rsid w:val="20E74328"/>
    <w:rsid w:val="23B75C54"/>
    <w:rsid w:val="245F009A"/>
    <w:rsid w:val="25164BFC"/>
    <w:rsid w:val="26522036"/>
    <w:rsid w:val="2783171D"/>
    <w:rsid w:val="29E5020D"/>
    <w:rsid w:val="2C247DAC"/>
    <w:rsid w:val="2CC14B77"/>
    <w:rsid w:val="2DAC3BFD"/>
    <w:rsid w:val="2F733923"/>
    <w:rsid w:val="2F760751"/>
    <w:rsid w:val="3173162A"/>
    <w:rsid w:val="31EB11BF"/>
    <w:rsid w:val="32D57EA5"/>
    <w:rsid w:val="33075DFB"/>
    <w:rsid w:val="33263D6A"/>
    <w:rsid w:val="34C72619"/>
    <w:rsid w:val="35A43BDE"/>
    <w:rsid w:val="35CF4AD8"/>
    <w:rsid w:val="36251143"/>
    <w:rsid w:val="379C71E3"/>
    <w:rsid w:val="39B74BDE"/>
    <w:rsid w:val="3A0D2667"/>
    <w:rsid w:val="3B3B6D13"/>
    <w:rsid w:val="3C053F08"/>
    <w:rsid w:val="3F53046B"/>
    <w:rsid w:val="3F6705F7"/>
    <w:rsid w:val="40780A59"/>
    <w:rsid w:val="42784CF1"/>
    <w:rsid w:val="4561381B"/>
    <w:rsid w:val="46835828"/>
    <w:rsid w:val="4BDA4326"/>
    <w:rsid w:val="4DB311C4"/>
    <w:rsid w:val="4E920EE8"/>
    <w:rsid w:val="503B1382"/>
    <w:rsid w:val="52F82D96"/>
    <w:rsid w:val="547B4EA9"/>
    <w:rsid w:val="54EB010D"/>
    <w:rsid w:val="550F7B55"/>
    <w:rsid w:val="55122FD8"/>
    <w:rsid w:val="55926D29"/>
    <w:rsid w:val="57572CCF"/>
    <w:rsid w:val="58E53EC8"/>
    <w:rsid w:val="599B1268"/>
    <w:rsid w:val="59E766FB"/>
    <w:rsid w:val="5AF2460E"/>
    <w:rsid w:val="5C3F2EED"/>
    <w:rsid w:val="5C8968EE"/>
    <w:rsid w:val="5CF62206"/>
    <w:rsid w:val="5F1C412F"/>
    <w:rsid w:val="5F596331"/>
    <w:rsid w:val="60B151FE"/>
    <w:rsid w:val="63716633"/>
    <w:rsid w:val="64586600"/>
    <w:rsid w:val="654B14AA"/>
    <w:rsid w:val="65B67155"/>
    <w:rsid w:val="6709554C"/>
    <w:rsid w:val="67B8418F"/>
    <w:rsid w:val="6AF723A7"/>
    <w:rsid w:val="6B486391"/>
    <w:rsid w:val="6BE566A3"/>
    <w:rsid w:val="6CC45353"/>
    <w:rsid w:val="6CC632BF"/>
    <w:rsid w:val="6CDE4879"/>
    <w:rsid w:val="6E1A0886"/>
    <w:rsid w:val="7016507D"/>
    <w:rsid w:val="71B0505E"/>
    <w:rsid w:val="73E35E45"/>
    <w:rsid w:val="74561EEC"/>
    <w:rsid w:val="74F80B83"/>
    <w:rsid w:val="75387844"/>
    <w:rsid w:val="76D50550"/>
    <w:rsid w:val="772F044F"/>
    <w:rsid w:val="77324D59"/>
    <w:rsid w:val="78090D95"/>
    <w:rsid w:val="783A06B1"/>
    <w:rsid w:val="78435456"/>
    <w:rsid w:val="7A9D7D6A"/>
    <w:rsid w:val="7AAF0711"/>
    <w:rsid w:val="7ACD0A2E"/>
    <w:rsid w:val="7DB87774"/>
    <w:rsid w:val="7E524D23"/>
    <w:rsid w:val="7FA77A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nhideWhenUsed="0" w:uiPriority="0" w:name="Default Paragraph Font"/>
    <w:lsdException w:qFormat="1" w:unhideWhenUsed="0" w:uiPriority="0" w:semiHidden="0" w:name="Body Text"/>
    <w:lsdException w:qFormat="1" w:uiPriority="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qFormat="1"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sdException w:qFormat="1" w:unhideWhenUsed="0" w:uiPriority="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link w:val="46"/>
    <w:autoRedefine/>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autoRedefine/>
    <w:semiHidden/>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2">
    <w:name w:val="heading 3"/>
    <w:basedOn w:val="1"/>
    <w:next w:val="1"/>
    <w:link w:val="48"/>
    <w:autoRedefine/>
    <w:semiHidden/>
    <w:unhideWhenUsed/>
    <w:qFormat/>
    <w:uiPriority w:val="0"/>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link w:val="53"/>
    <w:autoRedefine/>
    <w:semiHidden/>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24">
    <w:name w:val="Default Paragraph Font"/>
    <w:autoRedefine/>
    <w:semiHidden/>
    <w:qFormat/>
    <w:uiPriority w:val="0"/>
  </w:style>
  <w:style w:type="table" w:default="1" w:styleId="22">
    <w:name w:val="Normal Table"/>
    <w:autoRedefine/>
    <w:semiHidden/>
    <w:unhideWhenUsed/>
    <w:qFormat/>
    <w:uiPriority w:val="99"/>
    <w:tblPr>
      <w:tblCellMar>
        <w:top w:w="0" w:type="dxa"/>
        <w:left w:w="108" w:type="dxa"/>
        <w:bottom w:w="0" w:type="dxa"/>
        <w:right w:w="108" w:type="dxa"/>
      </w:tblCellMar>
    </w:tblPr>
  </w:style>
  <w:style w:type="paragraph" w:styleId="6">
    <w:name w:val="Normal Indent"/>
    <w:basedOn w:val="1"/>
    <w:autoRedefine/>
    <w:qFormat/>
    <w:uiPriority w:val="0"/>
    <w:pPr>
      <w:ind w:firstLine="420" w:firstLineChars="200"/>
    </w:pPr>
  </w:style>
  <w:style w:type="paragraph" w:styleId="7">
    <w:name w:val="annotation text"/>
    <w:basedOn w:val="1"/>
    <w:link w:val="45"/>
    <w:autoRedefine/>
    <w:qFormat/>
    <w:uiPriority w:val="0"/>
    <w:pPr>
      <w:jc w:val="left"/>
    </w:pPr>
  </w:style>
  <w:style w:type="paragraph" w:styleId="8">
    <w:name w:val="Body Text"/>
    <w:basedOn w:val="1"/>
    <w:autoRedefine/>
    <w:qFormat/>
    <w:uiPriority w:val="0"/>
    <w:pPr>
      <w:spacing w:after="120" w:afterLines="0" w:afterAutospacing="0"/>
    </w:pPr>
  </w:style>
  <w:style w:type="paragraph" w:styleId="9">
    <w:name w:val="Body Text Indent"/>
    <w:basedOn w:val="1"/>
    <w:next w:val="10"/>
    <w:autoRedefine/>
    <w:semiHidden/>
    <w:unhideWhenUsed/>
    <w:qFormat/>
    <w:uiPriority w:val="0"/>
    <w:pPr>
      <w:spacing w:after="120"/>
      <w:ind w:left="420" w:leftChars="200"/>
    </w:pPr>
  </w:style>
  <w:style w:type="paragraph" w:styleId="10">
    <w:name w:val="envelope return"/>
    <w:basedOn w:val="1"/>
    <w:autoRedefine/>
    <w:qFormat/>
    <w:uiPriority w:val="0"/>
  </w:style>
  <w:style w:type="paragraph" w:styleId="11">
    <w:name w:val="toc 3"/>
    <w:basedOn w:val="1"/>
    <w:next w:val="1"/>
    <w:autoRedefine/>
    <w:qFormat/>
    <w:uiPriority w:val="0"/>
    <w:pPr>
      <w:ind w:left="840" w:leftChars="400"/>
    </w:pPr>
  </w:style>
  <w:style w:type="paragraph" w:styleId="12">
    <w:name w:val="Plain Text"/>
    <w:basedOn w:val="1"/>
    <w:link w:val="34"/>
    <w:autoRedefine/>
    <w:qFormat/>
    <w:uiPriority w:val="0"/>
    <w:rPr>
      <w:rFonts w:ascii="宋体" w:hAnsi="Courier New"/>
    </w:rPr>
  </w:style>
  <w:style w:type="paragraph" w:styleId="13">
    <w:name w:val="Date"/>
    <w:basedOn w:val="1"/>
    <w:next w:val="1"/>
    <w:link w:val="41"/>
    <w:autoRedefine/>
    <w:qFormat/>
    <w:uiPriority w:val="0"/>
    <w:pPr>
      <w:ind w:left="100" w:leftChars="2500"/>
    </w:pPr>
  </w:style>
  <w:style w:type="paragraph" w:styleId="14">
    <w:name w:val="Balloon Text"/>
    <w:basedOn w:val="1"/>
    <w:link w:val="28"/>
    <w:autoRedefine/>
    <w:qFormat/>
    <w:uiPriority w:val="0"/>
    <w:rPr>
      <w:sz w:val="18"/>
    </w:rPr>
  </w:style>
  <w:style w:type="paragraph" w:styleId="15">
    <w:name w:val="footer"/>
    <w:basedOn w:val="1"/>
    <w:link w:val="33"/>
    <w:autoRedefine/>
    <w:qFormat/>
    <w:uiPriority w:val="0"/>
    <w:pPr>
      <w:tabs>
        <w:tab w:val="center" w:pos="4153"/>
        <w:tab w:val="right" w:pos="8306"/>
      </w:tabs>
      <w:snapToGrid w:val="0"/>
      <w:jc w:val="left"/>
    </w:pPr>
    <w:rPr>
      <w:sz w:val="18"/>
    </w:rPr>
  </w:style>
  <w:style w:type="paragraph" w:styleId="16">
    <w:name w:val="header"/>
    <w:basedOn w:val="1"/>
    <w:link w:val="32"/>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7">
    <w:name w:val="toc 1"/>
    <w:basedOn w:val="1"/>
    <w:next w:val="1"/>
    <w:autoRedefine/>
    <w:qFormat/>
    <w:uiPriority w:val="0"/>
  </w:style>
  <w:style w:type="paragraph" w:styleId="18">
    <w:name w:val="toc 2"/>
    <w:basedOn w:val="1"/>
    <w:next w:val="1"/>
    <w:autoRedefine/>
    <w:qFormat/>
    <w:uiPriority w:val="0"/>
    <w:pPr>
      <w:ind w:left="420" w:leftChars="200"/>
    </w:pPr>
  </w:style>
  <w:style w:type="paragraph" w:styleId="19">
    <w:name w:val="index 1"/>
    <w:basedOn w:val="1"/>
    <w:next w:val="1"/>
    <w:autoRedefine/>
    <w:qFormat/>
    <w:uiPriority w:val="0"/>
  </w:style>
  <w:style w:type="paragraph" w:styleId="20">
    <w:name w:val="Body Text First Indent"/>
    <w:basedOn w:val="8"/>
    <w:autoRedefine/>
    <w:qFormat/>
    <w:uiPriority w:val="0"/>
    <w:pPr>
      <w:ind w:firstLine="420" w:firstLineChars="100"/>
    </w:pPr>
  </w:style>
  <w:style w:type="paragraph" w:styleId="21">
    <w:name w:val="Body Text First Indent 2"/>
    <w:basedOn w:val="9"/>
    <w:autoRedefine/>
    <w:semiHidden/>
    <w:unhideWhenUsed/>
    <w:qFormat/>
    <w:uiPriority w:val="99"/>
    <w:pPr>
      <w:ind w:firstLine="420" w:firstLineChars="200"/>
    </w:pPr>
  </w:style>
  <w:style w:type="table" w:styleId="23">
    <w:name w:val="Table Grid"/>
    <w:basedOn w:val="22"/>
    <w:autoRedefine/>
    <w:unhideWhenUsed/>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Strong"/>
    <w:basedOn w:val="24"/>
    <w:autoRedefine/>
    <w:qFormat/>
    <w:uiPriority w:val="0"/>
    <w:rPr>
      <w:b/>
    </w:rPr>
  </w:style>
  <w:style w:type="character" w:styleId="26">
    <w:name w:val="Emphasis"/>
    <w:basedOn w:val="24"/>
    <w:autoRedefine/>
    <w:qFormat/>
    <w:uiPriority w:val="0"/>
    <w:rPr>
      <w:i/>
    </w:rPr>
  </w:style>
  <w:style w:type="character" w:styleId="27">
    <w:name w:val="Hyperlink"/>
    <w:basedOn w:val="24"/>
    <w:autoRedefine/>
    <w:qFormat/>
    <w:uiPriority w:val="0"/>
    <w:rPr>
      <w:color w:val="0000FF"/>
      <w:u w:val="single"/>
    </w:rPr>
  </w:style>
  <w:style w:type="character" w:customStyle="1" w:styleId="28">
    <w:name w:val="批注框文本 字符"/>
    <w:link w:val="14"/>
    <w:autoRedefine/>
    <w:semiHidden/>
    <w:qFormat/>
    <w:uiPriority w:val="99"/>
    <w:rPr>
      <w:sz w:val="18"/>
    </w:rPr>
  </w:style>
  <w:style w:type="paragraph" w:customStyle="1" w:styleId="29">
    <w:name w:val="正文（缩进）"/>
    <w:basedOn w:val="1"/>
    <w:autoRedefine/>
    <w:qFormat/>
    <w:uiPriority w:val="0"/>
    <w:pPr>
      <w:widowControl/>
      <w:spacing w:before="156" w:after="156"/>
      <w:ind w:firstLine="480" w:firstLineChars="200"/>
      <w:jc w:val="left"/>
    </w:pPr>
    <w:rPr>
      <w:kern w:val="0"/>
      <w:sz w:val="24"/>
      <w:szCs w:val="24"/>
    </w:rPr>
  </w:style>
  <w:style w:type="paragraph" w:customStyle="1" w:styleId="30">
    <w:name w:val="xl31"/>
    <w:basedOn w:val="1"/>
    <w:autoRedefine/>
    <w:qFormat/>
    <w:uiPriority w:val="0"/>
    <w:pPr>
      <w:widowControl/>
      <w:spacing w:before="100" w:beforeAutospacing="1" w:after="100" w:afterAutospacing="1"/>
      <w:jc w:val="center"/>
    </w:pPr>
    <w:rPr>
      <w:b/>
      <w:bCs/>
      <w:kern w:val="0"/>
      <w:sz w:val="28"/>
      <w:szCs w:val="28"/>
    </w:rPr>
  </w:style>
  <w:style w:type="paragraph" w:customStyle="1" w:styleId="31">
    <w:name w:val="D&amp;L"/>
    <w:basedOn w:val="16"/>
    <w:autoRedefine/>
    <w:qFormat/>
    <w:uiPriority w:val="0"/>
    <w:pPr>
      <w:pBdr>
        <w:bottom w:val="thinThickSmallGap" w:color="auto" w:sz="18" w:space="1"/>
      </w:pBdr>
      <w:adjustRightInd w:val="0"/>
      <w:snapToGrid/>
      <w:spacing w:line="240" w:lineRule="atLeast"/>
      <w:textAlignment w:val="baseline"/>
    </w:pPr>
    <w:rPr>
      <w:kern w:val="0"/>
      <w:sz w:val="24"/>
      <w:szCs w:val="20"/>
    </w:rPr>
  </w:style>
  <w:style w:type="character" w:customStyle="1" w:styleId="32">
    <w:name w:val="页眉 字符"/>
    <w:link w:val="16"/>
    <w:autoRedefine/>
    <w:qFormat/>
    <w:uiPriority w:val="0"/>
    <w:rPr>
      <w:sz w:val="18"/>
    </w:rPr>
  </w:style>
  <w:style w:type="character" w:customStyle="1" w:styleId="33">
    <w:name w:val="页脚 字符"/>
    <w:link w:val="15"/>
    <w:autoRedefine/>
    <w:qFormat/>
    <w:uiPriority w:val="99"/>
    <w:rPr>
      <w:sz w:val="18"/>
    </w:rPr>
  </w:style>
  <w:style w:type="character" w:customStyle="1" w:styleId="34">
    <w:name w:val="纯文本 字符"/>
    <w:link w:val="12"/>
    <w:autoRedefine/>
    <w:qFormat/>
    <w:uiPriority w:val="0"/>
    <w:rPr>
      <w:rFonts w:ascii="宋体" w:hAnsi="Courier New"/>
    </w:rPr>
  </w:style>
  <w:style w:type="character" w:customStyle="1" w:styleId="35">
    <w:name w:val="纯文本 字符1"/>
    <w:basedOn w:val="24"/>
    <w:autoRedefine/>
    <w:semiHidden/>
    <w:qFormat/>
    <w:uiPriority w:val="99"/>
    <w:rPr>
      <w:rFonts w:hAnsi="Courier New" w:cs="Courier New" w:asciiTheme="minorEastAsia"/>
      <w:szCs w:val="20"/>
    </w:rPr>
  </w:style>
  <w:style w:type="character" w:customStyle="1" w:styleId="36">
    <w:name w:val="未处理的提及1"/>
    <w:basedOn w:val="24"/>
    <w:autoRedefine/>
    <w:semiHidden/>
    <w:unhideWhenUsed/>
    <w:qFormat/>
    <w:uiPriority w:val="99"/>
    <w:rPr>
      <w:color w:val="605E5C"/>
      <w:shd w:val="clear" w:color="auto" w:fill="E1DFDD"/>
    </w:rPr>
  </w:style>
  <w:style w:type="paragraph" w:styleId="37">
    <w:name w:val="List Paragraph"/>
    <w:basedOn w:val="1"/>
    <w:autoRedefine/>
    <w:qFormat/>
    <w:uiPriority w:val="34"/>
    <w:pPr>
      <w:ind w:firstLine="420" w:firstLineChars="200"/>
    </w:pPr>
  </w:style>
  <w:style w:type="paragraph" w:customStyle="1" w:styleId="38">
    <w:name w:val="Char Char Char Char Char Char Char1 Char"/>
    <w:basedOn w:val="1"/>
    <w:autoRedefine/>
    <w:qFormat/>
    <w:uiPriority w:val="0"/>
    <w:rPr>
      <w:rFonts w:ascii="Arial" w:hAnsi="Arial" w:eastAsia="宋体" w:cs="Arial"/>
      <w:sz w:val="24"/>
    </w:rPr>
  </w:style>
  <w:style w:type="table" w:customStyle="1" w:styleId="39">
    <w:name w:val="网格表 1 浅色1"/>
    <w:basedOn w:val="22"/>
    <w:autoRedefine/>
    <w:qFormat/>
    <w:uiPriority w:val="46"/>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character" w:customStyle="1" w:styleId="40">
    <w:name w:val="日期 字符"/>
    <w:basedOn w:val="24"/>
    <w:autoRedefine/>
    <w:semiHidden/>
    <w:qFormat/>
    <w:uiPriority w:val="99"/>
    <w:rPr>
      <w:rFonts w:ascii="@仿宋_GB2312" w:hAnsi="@仿宋_GB2312" w:eastAsia="@仿宋_GB2312" w:cs="@仿宋_GB2312"/>
      <w:szCs w:val="20"/>
    </w:rPr>
  </w:style>
  <w:style w:type="character" w:customStyle="1" w:styleId="41">
    <w:name w:val="日期 字符1"/>
    <w:link w:val="13"/>
    <w:autoRedefine/>
    <w:qFormat/>
    <w:uiPriority w:val="0"/>
  </w:style>
  <w:style w:type="character" w:customStyle="1" w:styleId="42">
    <w:name w:val="纯文本 Char1"/>
    <w:link w:val="43"/>
    <w:autoRedefine/>
    <w:qFormat/>
    <w:locked/>
    <w:uiPriority w:val="0"/>
    <w:rPr>
      <w:rFonts w:ascii="Arial" w:hAnsi="Arial" w:eastAsia="Arial"/>
      <w:kern w:val="2"/>
      <w:sz w:val="21"/>
      <w:lang w:val="en-US" w:eastAsia="zh-CN" w:bidi="ar-SA"/>
    </w:rPr>
  </w:style>
  <w:style w:type="paragraph" w:customStyle="1" w:styleId="43">
    <w:name w:val="纯文本1"/>
    <w:basedOn w:val="1"/>
    <w:link w:val="42"/>
    <w:autoRedefine/>
    <w:qFormat/>
    <w:uiPriority w:val="0"/>
    <w:rPr>
      <w:rFonts w:ascii="Arial" w:hAnsi="Arial" w:eastAsia="Arial" w:cstheme="minorBidi"/>
      <w:szCs w:val="22"/>
    </w:rPr>
  </w:style>
  <w:style w:type="character" w:customStyle="1" w:styleId="44">
    <w:name w:val="批注文字 Char"/>
    <w:basedOn w:val="24"/>
    <w:autoRedefine/>
    <w:semiHidden/>
    <w:qFormat/>
    <w:uiPriority w:val="99"/>
    <w:rPr>
      <w:rFonts w:ascii="@仿宋_GB2312" w:hAnsi="@仿宋_GB2312" w:eastAsia="@仿宋_GB2312" w:cs="@仿宋_GB2312"/>
      <w:szCs w:val="20"/>
    </w:rPr>
  </w:style>
  <w:style w:type="character" w:customStyle="1" w:styleId="45">
    <w:name w:val="批注文字 字符"/>
    <w:link w:val="7"/>
    <w:autoRedefine/>
    <w:qFormat/>
    <w:uiPriority w:val="0"/>
  </w:style>
  <w:style w:type="character" w:customStyle="1" w:styleId="46">
    <w:name w:val="标题 1 字符"/>
    <w:link w:val="3"/>
    <w:autoRedefine/>
    <w:qFormat/>
    <w:uiPriority w:val="9"/>
    <w:rPr>
      <w:b/>
      <w:kern w:val="44"/>
      <w:sz w:val="44"/>
    </w:rPr>
  </w:style>
  <w:style w:type="paragraph" w:customStyle="1" w:styleId="47">
    <w:name w:val="TOC 标题1"/>
    <w:basedOn w:val="3"/>
    <w:next w:val="1"/>
    <w:autoRedefine/>
    <w:semiHidden/>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48">
    <w:name w:val="标题 3 字符"/>
    <w:link w:val="2"/>
    <w:autoRedefine/>
    <w:semiHidden/>
    <w:qFormat/>
    <w:uiPriority w:val="9"/>
    <w:rPr>
      <w:b/>
      <w:sz w:val="32"/>
    </w:rPr>
  </w:style>
  <w:style w:type="character" w:customStyle="1" w:styleId="49">
    <w:name w:val="fontstyle01"/>
    <w:basedOn w:val="24"/>
    <w:autoRedefine/>
    <w:qFormat/>
    <w:uiPriority w:val="0"/>
    <w:rPr>
      <w:rFonts w:hint="eastAsia" w:ascii="宋体" w:hAnsi="宋体" w:eastAsia="宋体"/>
      <w:color w:val="000000"/>
      <w:sz w:val="22"/>
      <w:szCs w:val="22"/>
    </w:rPr>
  </w:style>
  <w:style w:type="character" w:customStyle="1" w:styleId="50">
    <w:name w:val="fontstyle21"/>
    <w:basedOn w:val="24"/>
    <w:autoRedefine/>
    <w:qFormat/>
    <w:uiPriority w:val="0"/>
    <w:rPr>
      <w:rFonts w:hint="default" w:ascii="TimesNewRomanPSMT" w:hAnsi="TimesNewRomanPSMT"/>
      <w:color w:val="000000"/>
      <w:sz w:val="22"/>
      <w:szCs w:val="22"/>
    </w:rPr>
  </w:style>
  <w:style w:type="character" w:customStyle="1" w:styleId="51">
    <w:name w:val="正文文本 (2) + Sylfaen2"/>
    <w:autoRedefine/>
    <w:qFormat/>
    <w:uiPriority w:val="99"/>
    <w:rPr>
      <w:rFonts w:ascii="Sylfaen" w:hAnsi="Sylfaen" w:eastAsia="MingLiU" w:cs="Sylfaen"/>
      <w:spacing w:val="0"/>
      <w:sz w:val="23"/>
      <w:szCs w:val="23"/>
      <w:shd w:val="clear" w:color="auto" w:fill="FFFFFF"/>
      <w:lang w:val="en-US" w:eastAsia="en-US"/>
    </w:rPr>
  </w:style>
  <w:style w:type="character" w:customStyle="1" w:styleId="52">
    <w:name w:val="标题 4 字符"/>
    <w:basedOn w:val="24"/>
    <w:autoRedefine/>
    <w:semiHidden/>
    <w:qFormat/>
    <w:uiPriority w:val="9"/>
    <w:rPr>
      <w:rFonts w:asciiTheme="majorHAnsi" w:hAnsiTheme="majorHAnsi" w:eastAsiaTheme="majorEastAsia" w:cstheme="majorBidi"/>
      <w:b/>
      <w:bCs/>
      <w:sz w:val="28"/>
      <w:szCs w:val="28"/>
    </w:rPr>
  </w:style>
  <w:style w:type="character" w:customStyle="1" w:styleId="53">
    <w:name w:val="标题 4 字符1"/>
    <w:link w:val="5"/>
    <w:autoRedefine/>
    <w:qFormat/>
    <w:uiPriority w:val="0"/>
    <w:rPr>
      <w:rFonts w:ascii="Arial" w:hAnsi="Arial" w:eastAsia="黑体"/>
      <w:b/>
      <w:sz w:val="28"/>
    </w:rPr>
  </w:style>
  <w:style w:type="paragraph" w:customStyle="1" w:styleId="54">
    <w:name w:val="普通 (Web)"/>
    <w:basedOn w:val="1"/>
    <w:autoRedefine/>
    <w:qFormat/>
    <w:uiPriority w:val="0"/>
    <w:pPr>
      <w:widowControl/>
      <w:spacing w:before="100" w:beforeAutospacing="1" w:after="100" w:afterAutospacing="1"/>
      <w:jc w:val="left"/>
    </w:pPr>
    <w:rPr>
      <w:rFonts w:cs="Times New Roman"/>
      <w:sz w:val="24"/>
      <w:szCs w:val="24"/>
    </w:rPr>
  </w:style>
  <w:style w:type="paragraph" w:customStyle="1" w:styleId="55">
    <w:name w:val="Body text|1"/>
    <w:autoRedefine/>
    <w:qFormat/>
    <w:uiPriority w:val="0"/>
    <w:pPr>
      <w:widowControl w:val="0"/>
      <w:spacing w:line="425" w:lineRule="auto"/>
      <w:ind w:firstLine="400"/>
    </w:pPr>
    <w:rPr>
      <w:rFonts w:ascii="宋体" w:hAnsi="宋体" w:eastAsia="宋体" w:cs="宋体"/>
      <w:color w:val="000000"/>
      <w:sz w:val="26"/>
      <w:szCs w:val="26"/>
      <w:lang w:val="zh-TW" w:eastAsia="zh-TW" w:bidi="zh-TW"/>
    </w:rPr>
  </w:style>
  <w:style w:type="paragraph" w:customStyle="1" w:styleId="56">
    <w:name w:val="首行缩进"/>
    <w:basedOn w:val="1"/>
    <w:autoRedefine/>
    <w:qFormat/>
    <w:uiPriority w:val="99"/>
    <w:pPr>
      <w:spacing w:line="360" w:lineRule="auto"/>
      <w:ind w:firstLine="480" w:firstLineChars="200"/>
    </w:pPr>
    <w:rPr>
      <w:rFonts w:ascii="Calibri" w:hAnsi="Calibri"/>
      <w:sz w:val="24"/>
      <w:lang w:val="zh-CN"/>
    </w:rPr>
  </w:style>
  <w:style w:type="paragraph" w:customStyle="1" w:styleId="57">
    <w:name w:val="列表段落1"/>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akoosky</Company>
  <Pages>31</Pages>
  <Words>1457</Words>
  <Characters>1620</Characters>
  <Lines>180</Lines>
  <Paragraphs>50</Paragraphs>
  <TotalTime>27</TotalTime>
  <ScaleCrop>false</ScaleCrop>
  <LinksUpToDate>false</LinksUpToDate>
  <CharactersWithSpaces>1839</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2019-05-06T14:32:00Z</dcterms:created>
  <dc:creator>Anakin</dc:creator>
  <cp:lastModifiedBy>worker</cp:lastModifiedBy>
  <cp:lastPrinted>2022-06-23T01:57:00Z</cp:lastPrinted>
  <dcterms:modified xsi:type="dcterms:W3CDTF">2025-01-08T00:43:42Z</dcterms:modified>
  <cp:revision>903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1137872B5D1F44C1B9F8582D937E2697_13</vt:lpwstr>
  </property>
  <property fmtid="{D5CDD505-2E9C-101B-9397-08002B2CF9AE}" pid="4" name="KSOTemplateDocerSaveRecord">
    <vt:lpwstr>eyJoZGlkIjoiOWQzZGVlYjU5N2FjN2M4YmRhYmI3NjE1MGM2YWVkYmYiLCJ1c2VySWQiOiIyODA4OTU1OTQifQ==</vt:lpwstr>
  </property>
</Properties>
</file>