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51E1F1">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221AC7E9">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45B3EC3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7E594A0C">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14:paraId="0C2FDD22">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6EB7EAEA">
      <w:pPr>
        <w:rPr>
          <w:rFonts w:ascii="Times New Roman" w:hAnsi="Times New Roman" w:cs="Times New Roman" w:eastAsiaTheme="minorEastAsia"/>
          <w:bCs/>
          <w:sz w:val="44"/>
          <w:szCs w:val="44"/>
        </w:rPr>
      </w:pPr>
    </w:p>
    <w:p w14:paraId="2B596D84">
      <w:pPr>
        <w:rPr>
          <w:rFonts w:ascii="Times New Roman" w:hAnsi="Times New Roman" w:cs="Times New Roman"/>
        </w:rPr>
      </w:pPr>
    </w:p>
    <w:p w14:paraId="635BA097">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hint="eastAsia" w:ascii="宋体" w:hAnsi="宋体" w:eastAsia="宋体"/>
          <w:sz w:val="28"/>
          <w:lang w:eastAsia="zh-CN"/>
        </w:rPr>
        <w:drawing>
          <wp:inline distT="0" distB="0" distL="114300" distR="114300">
            <wp:extent cx="1814195" cy="1104900"/>
            <wp:effectExtent l="0" t="0" r="14605" b="0"/>
            <wp:docPr id="3"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下载"/>
                    <pic:cNvPicPr>
                      <a:picLocks noChangeAspect="1"/>
                    </pic:cNvPicPr>
                  </pic:nvPicPr>
                  <pic:blipFill>
                    <a:blip r:embed="rId7"/>
                    <a:stretch>
                      <a:fillRect/>
                    </a:stretch>
                  </pic:blipFill>
                  <pic:spPr>
                    <a:xfrm>
                      <a:off x="0" y="0"/>
                      <a:ext cx="1814195" cy="1104900"/>
                    </a:xfrm>
                    <a:prstGeom prst="rect">
                      <a:avLst/>
                    </a:prstGeom>
                    <a:noFill/>
                    <a:ln>
                      <a:noFill/>
                    </a:ln>
                  </pic:spPr>
                </pic:pic>
              </a:graphicData>
            </a:graphic>
          </wp:inline>
        </w:drawing>
      </w:r>
    </w:p>
    <w:p w14:paraId="49E70ACB">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51E763E1">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25151AE2">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4E960C76">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eastAsiaTheme="minorEastAsia"/>
          <w:b/>
          <w:spacing w:val="20"/>
          <w:kern w:val="0"/>
          <w:sz w:val="32"/>
          <w:szCs w:val="32"/>
          <w:u w:val="single"/>
        </w:rPr>
        <w:t>合肥</w:t>
      </w:r>
      <w:r>
        <w:rPr>
          <w:rFonts w:hint="eastAsia" w:ascii="Times New Roman" w:hAnsi="Times New Roman" w:cs="Times New Roman"/>
          <w:b/>
          <w:spacing w:val="20"/>
          <w:kern w:val="0"/>
          <w:sz w:val="32"/>
          <w:szCs w:val="32"/>
          <w:u w:val="single"/>
          <w:lang w:eastAsia="zh-CN"/>
        </w:rPr>
        <w:t>滨湖</w:t>
      </w:r>
      <w:r>
        <w:rPr>
          <w:rFonts w:hint="eastAsia" w:ascii="Times New Roman" w:hAnsi="Times New Roman" w:cs="Times New Roman"/>
          <w:b/>
          <w:spacing w:val="20"/>
          <w:kern w:val="0"/>
          <w:sz w:val="32"/>
          <w:szCs w:val="32"/>
          <w:u w:val="single"/>
          <w:lang w:val="en-US" w:eastAsia="zh-CN"/>
        </w:rPr>
        <w:t>国际</w:t>
      </w:r>
      <w:r>
        <w:rPr>
          <w:rFonts w:hint="eastAsia" w:ascii="Times New Roman" w:hAnsi="Times New Roman" w:cs="Times New Roman" w:eastAsiaTheme="minorEastAsia"/>
          <w:b/>
          <w:spacing w:val="20"/>
          <w:kern w:val="0"/>
          <w:sz w:val="32"/>
          <w:szCs w:val="32"/>
          <w:u w:val="single"/>
        </w:rPr>
        <w:t>会展中心闲置车辆评估项目</w:t>
      </w:r>
      <w:r>
        <w:rPr>
          <w:rFonts w:hint="eastAsia" w:ascii="Times New Roman" w:hAnsi="Times New Roman" w:cs="Times New Roman"/>
          <w:b/>
          <w:spacing w:val="20"/>
          <w:kern w:val="0"/>
          <w:sz w:val="32"/>
          <w:szCs w:val="32"/>
          <w:u w:val="single"/>
          <w:lang w:eastAsia="zh-CN"/>
        </w:rPr>
        <w:t>（</w:t>
      </w:r>
      <w:r>
        <w:rPr>
          <w:rFonts w:hint="eastAsia" w:ascii="Times New Roman" w:hAnsi="Times New Roman" w:cs="Times New Roman"/>
          <w:b/>
          <w:spacing w:val="20"/>
          <w:kern w:val="0"/>
          <w:sz w:val="32"/>
          <w:szCs w:val="32"/>
          <w:u w:val="single"/>
          <w:lang w:val="en-US" w:eastAsia="zh-CN"/>
        </w:rPr>
        <w:t>三次</w:t>
      </w:r>
      <w:r>
        <w:rPr>
          <w:rFonts w:hint="eastAsia" w:ascii="Times New Roman" w:hAnsi="Times New Roman" w:cs="Times New Roman"/>
          <w:b/>
          <w:spacing w:val="20"/>
          <w:kern w:val="0"/>
          <w:sz w:val="32"/>
          <w:szCs w:val="32"/>
          <w:u w:val="single"/>
          <w:lang w:eastAsia="zh-CN"/>
        </w:rPr>
        <w:t>）</w:t>
      </w:r>
    </w:p>
    <w:p w14:paraId="072E6B96">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u w:val="single"/>
        </w:rPr>
        <w:t>2025ZWHZXJ0001</w:t>
      </w:r>
      <w:r>
        <w:rPr>
          <w:rFonts w:hint="eastAsia" w:ascii="Times New Roman" w:hAnsi="Times New Roman" w:cs="Times New Roman"/>
          <w:b/>
          <w:spacing w:val="20"/>
          <w:kern w:val="0"/>
          <w:sz w:val="32"/>
          <w:szCs w:val="32"/>
          <w:u w:val="single"/>
          <w:lang w:val="en-US" w:eastAsia="zh-CN"/>
        </w:rPr>
        <w:t>4</w:t>
      </w:r>
    </w:p>
    <w:p w14:paraId="6EBF0A17">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lang w:eastAsia="zh-CN"/>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b/>
          <w:spacing w:val="20"/>
          <w:kern w:val="0"/>
          <w:sz w:val="32"/>
          <w:szCs w:val="32"/>
          <w:u w:val="single"/>
          <w:lang w:eastAsia="zh-CN"/>
        </w:rPr>
        <w:t>合肥政文国际会展管理有限公司</w:t>
      </w:r>
    </w:p>
    <w:p w14:paraId="68922BF9">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789C2173">
      <w:pPr>
        <w:pStyle w:val="22"/>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2025</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12</w:t>
      </w:r>
      <w:r>
        <w:rPr>
          <w:rFonts w:eastAsiaTheme="majorEastAsia"/>
          <w:b/>
          <w:sz w:val="36"/>
          <w:u w:val="single"/>
        </w:rPr>
        <w:t xml:space="preserve"> </w:t>
      </w:r>
      <w:r>
        <w:rPr>
          <w:rFonts w:eastAsiaTheme="majorEastAsia"/>
          <w:b/>
          <w:sz w:val="36"/>
        </w:rPr>
        <w:t>月</w:t>
      </w:r>
    </w:p>
    <w:p w14:paraId="49059982">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39431A46">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4894CBC2">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69068FDD">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460C91E1">
      <w:pPr>
        <w:pStyle w:val="18"/>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6C5AFF3B">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CA190DF">
      <w:pPr>
        <w:pStyle w:val="18"/>
        <w:tabs>
          <w:tab w:val="right" w:leader="dot" w:pos="8279"/>
        </w:tabs>
        <w:rPr>
          <w:rFonts w:hint="eastAsia" w:ascii="Times New Roman" w:hAnsi="Times New Roman" w:cs="Times New Roman" w:eastAsiaTheme="minorEastAsia"/>
          <w:b/>
          <w:bCs/>
          <w:sz w:val="22"/>
          <w:szCs w:val="28"/>
          <w:lang w:val="en-US" w:eastAsia="zh-CN"/>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hint="eastAsia" w:ascii="Times New Roman" w:hAnsi="Times New Roman" w:cs="Times New Roman"/>
          <w:b/>
          <w:bCs/>
          <w:sz w:val="22"/>
          <w:szCs w:val="28"/>
          <w:lang w:val="en-US" w:eastAsia="zh-CN"/>
        </w:rPr>
        <w:t>1</w:t>
      </w:r>
      <w:r>
        <w:rPr>
          <w:rFonts w:ascii="Times New Roman" w:hAnsi="Times New Roman" w:cs="Times New Roman"/>
          <w:b/>
          <w:bCs/>
          <w:sz w:val="22"/>
          <w:szCs w:val="28"/>
        </w:rPr>
        <w:fldChar w:fldCharType="end"/>
      </w:r>
      <w:r>
        <w:rPr>
          <w:rFonts w:hint="eastAsia" w:ascii="Times New Roman" w:hAnsi="Times New Roman" w:cs="Times New Roman"/>
          <w:b/>
          <w:bCs/>
          <w:sz w:val="22"/>
          <w:szCs w:val="28"/>
          <w:lang w:val="en-US" w:eastAsia="zh-CN"/>
        </w:rPr>
        <w:t>1</w:t>
      </w:r>
    </w:p>
    <w:p w14:paraId="53B6A12D">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9E36EC4">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15</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67C1F84">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22</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C970BC4">
      <w:pPr>
        <w:pStyle w:val="18"/>
        <w:tabs>
          <w:tab w:val="right" w:leader="dot" w:pos="8279"/>
        </w:tabs>
        <w:rPr>
          <w:rFonts w:ascii="Times New Roman" w:hAnsi="Times New Roman" w:cs="Times New Roman"/>
        </w:rPr>
      </w:pPr>
    </w:p>
    <w:p w14:paraId="7F30266F">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14:paraId="19C47954">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pgBorders>
            <w:top w:val="none" w:sz="0" w:space="0"/>
            <w:left w:val="none" w:sz="0" w:space="0"/>
            <w:bottom w:val="none" w:sz="0" w:space="0"/>
            <w:right w:val="none" w:sz="0" w:space="0"/>
          </w:pgBorders>
          <w:cols w:space="720" w:num="1"/>
          <w:docGrid w:linePitch="462" w:charSpace="0"/>
        </w:sectPr>
      </w:pPr>
    </w:p>
    <w:p w14:paraId="07C556C3">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696ED0F6">
      <w:pPr>
        <w:tabs>
          <w:tab w:val="left" w:pos="2410"/>
        </w:tabs>
        <w:autoSpaceDE w:val="0"/>
        <w:autoSpaceDN w:val="0"/>
        <w:adjustRightInd w:val="0"/>
        <w:snapToGrid w:val="0"/>
        <w:spacing w:line="360" w:lineRule="auto"/>
        <w:rPr>
          <w:rFonts w:ascii="Times New Roman" w:hAnsi="Times New Roman" w:cs="Times New Roman" w:eastAsiaTheme="minorEastAsia"/>
          <w:szCs w:val="21"/>
        </w:rPr>
      </w:pPr>
      <w:r>
        <w:rPr>
          <w:rFonts w:hint="eastAsia" w:ascii="Times New Roman" w:hAnsi="Times New Roman" w:cs="Times New Roman"/>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hint="eastAsia" w:ascii="Times New Roman" w:hAnsi="Times New Roman" w:cs="Times New Roman"/>
          <w:szCs w:val="21"/>
          <w:u w:val="single"/>
          <w:lang w:val="en-US" w:eastAsia="zh-CN"/>
        </w:rPr>
        <w:t xml:space="preserve"> 合肥滨湖国际会展中心闲置车辆评估项目（三次）</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14:paraId="297E47AA">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14:paraId="7E8E52F8">
      <w:pPr>
        <w:spacing w:line="360" w:lineRule="auto"/>
        <w:ind w:firstLine="420" w:firstLineChars="200"/>
        <w:rPr>
          <w:rFonts w:hint="eastAsia" w:ascii="Times New Roman" w:hAnsi="Times New Roman" w:cs="Times New Roman" w:eastAsiaTheme="minorEastAsia"/>
          <w:szCs w:val="21"/>
          <w:lang w:val="en-US" w:eastAsia="zh-CN"/>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2025ZWHZXJ0001</w:t>
      </w:r>
      <w:r>
        <w:rPr>
          <w:rFonts w:hint="eastAsia" w:ascii="Times New Roman" w:hAnsi="Times New Roman" w:cs="Times New Roman"/>
          <w:szCs w:val="21"/>
          <w:u w:val="single"/>
          <w:lang w:val="en-US" w:eastAsia="zh-CN"/>
        </w:rPr>
        <w:t>4</w:t>
      </w:r>
    </w:p>
    <w:p w14:paraId="62376DD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szCs w:val="21"/>
          <w:u w:val="single"/>
          <w:lang w:val="en-US" w:eastAsia="zh-CN"/>
        </w:rPr>
        <w:t>合肥滨湖国际会展中心闲置车辆评估项目（三次）</w:t>
      </w:r>
    </w:p>
    <w:p w14:paraId="4236039E">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合肥滨湖国际会展中心</w:t>
      </w:r>
      <w:r>
        <w:rPr>
          <w:rFonts w:ascii="Times New Roman" w:hAnsi="Times New Roman" w:cs="Times New Roman" w:eastAsiaTheme="minorEastAsia"/>
          <w:szCs w:val="21"/>
          <w:u w:val="single"/>
        </w:rPr>
        <w:t xml:space="preserve">     </w:t>
      </w:r>
    </w:p>
    <w:p w14:paraId="3F123970">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szCs w:val="21"/>
          <w:u w:val="single"/>
          <w:lang w:eastAsia="zh-CN"/>
        </w:rPr>
        <w:t>合肥政文国际会展管理有限公司</w:t>
      </w:r>
    </w:p>
    <w:p w14:paraId="4B69A3C8">
      <w:pPr>
        <w:spacing w:line="360" w:lineRule="auto"/>
        <w:ind w:firstLine="420" w:firstLineChars="200"/>
        <w:rPr>
          <w:rFonts w:hint="default" w:ascii="Times New Roman" w:hAnsi="Times New Roman" w:cs="Times New Roman"/>
          <w:szCs w:val="21"/>
          <w:u w:val="single"/>
          <w:lang w:val="en-US"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szCs w:val="21"/>
          <w:u w:val="single"/>
          <w:lang w:eastAsia="zh-CN"/>
        </w:rPr>
        <w:t>现对会展公司闲置车辆进行评估，详</w:t>
      </w:r>
      <w:r>
        <w:rPr>
          <w:rFonts w:hint="eastAsia" w:ascii="Times New Roman" w:hAnsi="Times New Roman" w:cs="Times New Roman"/>
          <w:szCs w:val="21"/>
          <w:u w:val="single"/>
          <w:lang w:val="en-US" w:eastAsia="zh-CN"/>
        </w:rPr>
        <w:t>见询价文件</w:t>
      </w:r>
    </w:p>
    <w:p w14:paraId="0E9C1C69">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hint="eastAsia" w:ascii="Times New Roman" w:hAnsi="Times New Roman" w:cs="Times New Roman"/>
          <w:szCs w:val="21"/>
          <w:u w:val="single"/>
          <w:lang w:val="en-US" w:eastAsia="zh-CN"/>
        </w:rPr>
        <w:t>自筹</w:t>
      </w:r>
    </w:p>
    <w:p w14:paraId="7591E8F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1500元</w:t>
      </w:r>
      <w:r>
        <w:rPr>
          <w:rFonts w:ascii="Times New Roman" w:hAnsi="Times New Roman" w:cs="Times New Roman" w:eastAsiaTheme="minorEastAsia"/>
          <w:szCs w:val="21"/>
          <w:u w:val="single"/>
        </w:rPr>
        <w:t xml:space="preserve"> </w:t>
      </w:r>
    </w:p>
    <w:p w14:paraId="2E34E473">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服务</w:t>
      </w:r>
      <w:r>
        <w:rPr>
          <w:rFonts w:ascii="Times New Roman" w:hAnsi="Times New Roman" w:cs="Times New Roman" w:eastAsiaTheme="minorEastAsia"/>
          <w:szCs w:val="21"/>
          <w:u w:val="single"/>
        </w:rPr>
        <w:t xml:space="preserve"> </w:t>
      </w:r>
    </w:p>
    <w:p w14:paraId="33F5E8B2">
      <w:pPr>
        <w:spacing w:line="360" w:lineRule="auto"/>
        <w:ind w:firstLine="420" w:firstLineChars="200"/>
        <w:rPr>
          <w:rFonts w:ascii="Times New Roman" w:hAnsi="Times New Roman" w:cs="Times New Roman" w:eastAsiaTheme="minorEastAsia"/>
          <w:szCs w:val="21"/>
          <w:u w:val="single"/>
        </w:rPr>
      </w:pPr>
      <w:r>
        <w:rPr>
          <w:rFonts w:hint="eastAsia" w:ascii="Times New Roman" w:hAnsi="Times New Roman" w:cs="Times New Roman"/>
          <w:szCs w:val="21"/>
          <w:highlight w:val="yellow"/>
          <w:u w:val="none"/>
          <w:lang w:val="en-US" w:eastAsia="zh-CN"/>
        </w:rPr>
        <w:t>9.其他要求：</w:t>
      </w:r>
      <w:r>
        <w:rPr>
          <w:rFonts w:hint="eastAsia" w:ascii="Times New Roman" w:hAnsi="Times New Roman" w:cs="Times New Roman"/>
          <w:szCs w:val="21"/>
          <w:highlight w:val="yellow"/>
          <w:u w:val="single"/>
          <w:lang w:val="en-US" w:eastAsia="zh-CN"/>
        </w:rPr>
        <w:t>该项目可能存在报价相同情况，当最低报价为两家或两家以上，相同的各家将进行二次报价；若二次报价时最低报价仍有两家或两家以上，将进行三轮报价。若三轮报价时最低报价仍有两家或两家以上时，将由询价小组抽签决定。如开标期间电话无人接听，则视为保持原价。投标人需在投标文件中指明投标授权人联系方式，方便后续报价。</w:t>
      </w:r>
    </w:p>
    <w:p w14:paraId="4C444B38">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14:paraId="7DB9A5ED">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14:paraId="2C35612C">
      <w:pPr>
        <w:spacing w:line="360" w:lineRule="auto"/>
        <w:ind w:firstLine="420" w:firstLineChars="200"/>
        <w:rPr>
          <w:rFonts w:hint="eastAsia" w:asciiTheme="majorEastAsia" w:hAnsiTheme="majorEastAsia" w:eastAsiaTheme="majorEastAsia" w:cstheme="majorEastAsia"/>
          <w:b/>
          <w:bCs/>
          <w:szCs w:val="21"/>
        </w:rPr>
      </w:pPr>
      <w:r>
        <w:rPr>
          <w:rFonts w:hint="eastAsia" w:ascii="宋体" w:hAnsi="宋体" w:eastAsia="宋体" w:cs="宋体"/>
          <w:color w:val="auto"/>
          <w:sz w:val="21"/>
          <w:szCs w:val="21"/>
          <w:highlight w:val="none"/>
        </w:rPr>
        <w:t>2.投标人资质要求：</w:t>
      </w:r>
      <w:r>
        <w:rPr>
          <w:rFonts w:hint="eastAsia" w:ascii="宋体" w:hAnsi="宋体" w:eastAsia="宋体" w:cs="宋体"/>
          <w:b/>
          <w:bCs/>
          <w:sz w:val="21"/>
          <w:szCs w:val="21"/>
        </w:rPr>
        <w:t>投标人为合肥市建设投资控股（集团）有限公司资产评估备</w:t>
      </w:r>
      <w:r>
        <w:rPr>
          <w:rFonts w:hint="eastAsia" w:asciiTheme="majorEastAsia" w:hAnsiTheme="majorEastAsia" w:eastAsiaTheme="majorEastAsia" w:cstheme="majorEastAsia"/>
          <w:b/>
          <w:bCs/>
          <w:szCs w:val="21"/>
        </w:rPr>
        <w:t>选库且属于资产类评估单位。</w:t>
      </w:r>
    </w:p>
    <w:p w14:paraId="6539646C">
      <w:pPr>
        <w:spacing w:line="360" w:lineRule="auto"/>
        <w:ind w:firstLine="420" w:firstLineChars="200"/>
        <w:rPr>
          <w:rFonts w:hint="eastAsia" w:ascii="Times New Roman" w:hAnsi="Times New Roman" w:cs="Times New Roman" w:eastAsiaTheme="majorEastAsia"/>
          <w:b w:val="0"/>
          <w:bCs w:val="0"/>
          <w:i/>
          <w:iCs/>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从合肥</w:t>
      </w:r>
      <w:r>
        <w:rPr>
          <w:rFonts w:hint="eastAsia" w:asciiTheme="majorEastAsia" w:hAnsiTheme="majorEastAsia" w:eastAsiaTheme="majorEastAsia" w:cstheme="majorEastAsia"/>
          <w:b w:val="0"/>
          <w:bCs w:val="0"/>
          <w:color w:val="000000" w:themeColor="text1"/>
          <w:szCs w:val="21"/>
          <w:highlight w:val="none"/>
          <w:lang w:eastAsia="zh-CN"/>
          <w14:textFill>
            <w14:solidFill>
              <w14:schemeClr w14:val="tx1"/>
            </w14:solidFill>
          </w14:textFill>
        </w:rPr>
        <w:t>市建设</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投资</w:t>
      </w:r>
      <w:r>
        <w:rPr>
          <w:rFonts w:hint="eastAsia" w:ascii="宋体" w:hAnsi="宋体" w:eastAsia="宋体" w:cs="宋体"/>
          <w:color w:val="000000" w:themeColor="text1"/>
          <w:sz w:val="21"/>
          <w:szCs w:val="21"/>
          <w:highlight w:val="none"/>
          <w:lang w:val="en-US" w:eastAsia="zh-CN"/>
          <w14:textFill>
            <w14:solidFill>
              <w14:schemeClr w14:val="tx1"/>
            </w14:solidFill>
          </w14:textFill>
        </w:rPr>
        <w:t>控股（集团）有限公司建立的资产评估机构备选库公开择优选择，</w:t>
      </w:r>
      <w:r>
        <w:rPr>
          <w:rFonts w:hint="eastAsia" w:asciiTheme="majorEastAsia" w:hAnsiTheme="majorEastAsia" w:eastAsiaTheme="majorEastAsia" w:cstheme="majorEastAsia"/>
          <w:b w:val="0"/>
          <w:bCs w:val="0"/>
          <w:color w:val="000000" w:themeColor="text1"/>
          <w:szCs w:val="21"/>
          <w:highlight w:val="none"/>
          <w:lang w:eastAsia="zh-CN"/>
          <w14:textFill>
            <w14:solidFill>
              <w14:schemeClr w14:val="tx1"/>
            </w14:solidFill>
          </w14:textFill>
        </w:rPr>
        <w:t>投标人需入选合肥市建设</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投资控股（集团）有限公司2023年6月14日公布的资产评估服务机构名单（第一标段资产类）。</w:t>
      </w:r>
    </w:p>
    <w:p w14:paraId="54BCCE1B">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pacing w:val="0"/>
          <w:sz w:val="21"/>
          <w:szCs w:val="21"/>
          <w:highlight w:val="none"/>
          <w14:textFill>
            <w14:solidFill>
              <w14:schemeClr w14:val="tx1"/>
            </w14:solidFill>
          </w14:textFill>
        </w:rPr>
        <w:t>遵守国家有关法律、法规、规章以及企业国有资产评估的政策规定，严格履行法定职责，近3年内没有违法违规记录，在承担国有资产评估工作中未出现重大质量问题或不良记录；</w:t>
      </w:r>
    </w:p>
    <w:p w14:paraId="47D8BC8D">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pacing w:val="0"/>
          <w:sz w:val="21"/>
          <w:szCs w:val="21"/>
          <w:highlight w:val="none"/>
          <w14:textFill>
            <w14:solidFill>
              <w14:schemeClr w14:val="tx1"/>
            </w14:solidFill>
          </w14:textFill>
        </w:rPr>
        <w:t>具备法定执业资格，具有与评估需求相适应的资质条件、专业人员和专业特长；</w:t>
      </w:r>
    </w:p>
    <w:p w14:paraId="1E7E8E02">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pacing w:val="0"/>
          <w:sz w:val="21"/>
          <w:szCs w:val="21"/>
          <w:highlight w:val="none"/>
          <w14:textFill>
            <w14:solidFill>
              <w14:schemeClr w14:val="tx1"/>
            </w14:solidFill>
          </w14:textFill>
        </w:rPr>
        <w:t>掌握企业所在行业的经济行为特点和相关市场信息，熟悉与企业及其所在行业相关的法规、政策；</w:t>
      </w:r>
    </w:p>
    <w:p w14:paraId="36D5D82C">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pacing w:val="0"/>
          <w:sz w:val="21"/>
          <w:szCs w:val="21"/>
          <w:highlight w:val="none"/>
          <w14:textFill>
            <w14:solidFill>
              <w14:schemeClr w14:val="tx1"/>
            </w14:solidFill>
          </w14:textFill>
        </w:rPr>
        <w:t>具备健全、完善的内部质量控制体系，建有国有资产评估报告三级及三级以上审核制度；</w:t>
      </w:r>
    </w:p>
    <w:p w14:paraId="412B2461">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2"/>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pacing w:val="0"/>
          <w:sz w:val="21"/>
          <w:szCs w:val="21"/>
          <w:highlight w:val="none"/>
          <w14:textFill>
            <w14:solidFill>
              <w14:schemeClr w14:val="tx1"/>
            </w14:solidFill>
          </w14:textFill>
        </w:rPr>
        <w:t>结合企业及评估项目实际，需要具备的其他条件。</w:t>
      </w:r>
    </w:p>
    <w:p w14:paraId="43BC8947">
      <w:pPr>
        <w:spacing w:line="360" w:lineRule="auto"/>
        <w:ind w:firstLine="420" w:firstLineChars="200"/>
        <w:rPr>
          <w:rFonts w:hint="eastAsia" w:ascii="Times New Roman" w:hAnsi="Times New Roman" w:cs="Times New Roman" w:eastAsiaTheme="majorEastAsia"/>
          <w:szCs w:val="21"/>
          <w:highlight w:val="yellow"/>
          <w:lang w:eastAsia="zh-CN"/>
        </w:rPr>
      </w:pPr>
      <w:r>
        <w:rPr>
          <w:rFonts w:hint="eastAsia" w:ascii="Times New Roman" w:hAnsi="Times New Roman" w:cs="Times New Roman" w:eastAsiaTheme="majorEastAsia"/>
          <w:szCs w:val="21"/>
          <w:highlight w:val="yellow"/>
          <w:lang w:val="en-US" w:eastAsia="zh-CN"/>
        </w:rPr>
        <w:t>8</w:t>
      </w:r>
      <w:r>
        <w:rPr>
          <w:rFonts w:hint="eastAsia" w:ascii="Times New Roman" w:hAnsi="Times New Roman" w:cs="Times New Roman" w:eastAsiaTheme="majorEastAsia"/>
          <w:szCs w:val="21"/>
          <w:highlight w:val="yellow"/>
        </w:rPr>
        <w:t>投标人</w:t>
      </w:r>
      <w:r>
        <w:rPr>
          <w:rFonts w:hint="eastAsia" w:ascii="Times New Roman" w:hAnsi="Times New Roman" w:cs="Times New Roman" w:eastAsiaTheme="majorEastAsia"/>
          <w:szCs w:val="21"/>
          <w:highlight w:val="yellow"/>
          <w:lang w:val="en-US" w:eastAsia="zh-CN"/>
        </w:rPr>
        <w:t>近二年</w:t>
      </w:r>
      <w:r>
        <w:rPr>
          <w:rFonts w:hint="eastAsia" w:ascii="Times New Roman" w:hAnsi="Times New Roman" w:cs="Times New Roman" w:eastAsiaTheme="majorEastAsia"/>
          <w:szCs w:val="21"/>
          <w:highlight w:val="yellow"/>
        </w:rPr>
        <w:t>未被列入合肥文旅博览集团有限公司信用评价体系黑名单</w:t>
      </w:r>
      <w:r>
        <w:rPr>
          <w:rFonts w:hint="eastAsia" w:ascii="Times New Roman" w:hAnsi="Times New Roman" w:cs="Times New Roman" w:eastAsiaTheme="majorEastAsia"/>
          <w:szCs w:val="21"/>
          <w:highlight w:val="yellow"/>
          <w:lang w:eastAsia="zh-CN"/>
        </w:rPr>
        <w:t>；</w:t>
      </w:r>
    </w:p>
    <w:p w14:paraId="7DCD2EE1">
      <w:pPr>
        <w:spacing w:line="360" w:lineRule="auto"/>
        <w:ind w:firstLine="420" w:firstLineChars="200"/>
        <w:rPr>
          <w:rFonts w:asciiTheme="majorEastAsia" w:hAnsiTheme="majorEastAsia" w:eastAsiaTheme="majorEastAsia" w:cstheme="majorEastAsia"/>
          <w:b/>
          <w:bCs/>
          <w:i/>
          <w:iCs/>
          <w:sz w:val="21"/>
          <w:szCs w:val="21"/>
        </w:rPr>
      </w:pPr>
      <w:r>
        <w:rPr>
          <w:rFonts w:hint="eastAsia" w:ascii="Times New Roman" w:hAnsi="Times New Roman" w:cs="Times New Roman" w:eastAsiaTheme="majorEastAsia"/>
          <w:szCs w:val="21"/>
          <w:highlight w:val="none"/>
          <w:lang w:val="en-US" w:eastAsia="zh-CN"/>
        </w:rPr>
        <w:t>9.</w:t>
      </w:r>
      <w:r>
        <w:rPr>
          <w:rFonts w:hint="eastAsia" w:asciiTheme="majorEastAsia" w:hAnsiTheme="majorEastAsia" w:eastAsiaTheme="majorEastAsia" w:cstheme="majorEastAsia"/>
          <w:sz w:val="21"/>
          <w:szCs w:val="21"/>
        </w:rPr>
        <w:t>投标人不得存在以下不良信用记录情形</w:t>
      </w:r>
      <w:r>
        <w:rPr>
          <w:rFonts w:hint="eastAsia" w:asciiTheme="majorEastAsia" w:hAnsiTheme="majorEastAsia" w:eastAsiaTheme="majorEastAsia" w:cstheme="majorEastAsia"/>
          <w:b/>
          <w:bCs/>
          <w:i/>
          <w:iCs/>
          <w:sz w:val="21"/>
          <w:szCs w:val="21"/>
        </w:rPr>
        <w:t>：</w:t>
      </w:r>
    </w:p>
    <w:p w14:paraId="44B232E7">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14:paraId="3D01BE87">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14:paraId="5A9C9911">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14:paraId="3560C404">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14:paraId="00522014">
      <w:pPr>
        <w:spacing w:line="360" w:lineRule="auto"/>
        <w:ind w:firstLine="420" w:firstLineChars="200"/>
        <w:rPr>
          <w:rFonts w:hint="default"/>
          <w:lang w:val="en-US" w:eastAsia="zh-CN"/>
        </w:rPr>
      </w:pPr>
      <w:r>
        <w:rPr>
          <w:rFonts w:hint="eastAsia" w:asciiTheme="majorEastAsia" w:hAnsiTheme="majorEastAsia" w:eastAsiaTheme="majorEastAsia" w:cstheme="majorEastAsia"/>
          <w:sz w:val="21"/>
          <w:szCs w:val="21"/>
        </w:rPr>
        <w:t>（5）在“信用中国”网站（http://www.creditchina.gov.cn/）中被列入重大税收违法失信主体名单；</w:t>
      </w:r>
    </w:p>
    <w:p w14:paraId="6912F274">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14:paraId="6B2C4021">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2025</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12</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2025</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12</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14:paraId="346A65D5">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w:t>
      </w:r>
      <w:r>
        <w:rPr>
          <w:rFonts w:hint="eastAsia" w:ascii="Times New Roman" w:hAnsi="Times New Roman" w:eastAsia="宋体" w:cs="Times New Roman"/>
          <w:bCs/>
          <w:snapToGrid w:val="0"/>
          <w:color w:val="000000"/>
          <w:lang w:eastAsia="zh-CN"/>
        </w:rPr>
        <w:t>合肥政文国际会展管理有限公司</w:t>
      </w:r>
      <w:r>
        <w:rPr>
          <w:rFonts w:ascii="Times New Roman" w:hAnsi="Times New Roman" w:eastAsia="宋体" w:cs="Times New Roman"/>
          <w:bCs/>
          <w:snapToGrid w:val="0"/>
          <w:color w:val="000000"/>
        </w:rPr>
        <w:t>网站（</w:t>
      </w:r>
      <w:r>
        <w:rPr>
          <w:rFonts w:hint="eastAsia" w:ascii="Times New Roman" w:hAnsi="Times New Roman" w:eastAsia="宋体" w:cs="Times New Roman"/>
          <w:bCs/>
          <w:snapToGrid w:val="0"/>
          <w:color w:val="000000"/>
          <w:lang w:eastAsia="zh-CN"/>
        </w:rPr>
        <w:t>https://www.hfhuizhan.com</w:t>
      </w:r>
      <w:r>
        <w:rPr>
          <w:rFonts w:ascii="Times New Roman" w:hAnsi="Times New Roman" w:eastAsia="宋体" w:cs="Times New Roman"/>
          <w:bCs/>
          <w:snapToGrid w:val="0"/>
          <w:color w:val="000000"/>
        </w:rPr>
        <w:t>）下载询价文件</w:t>
      </w:r>
    </w:p>
    <w:p w14:paraId="0C159FAC">
      <w:pPr>
        <w:widowControl/>
        <w:wordWrap w:val="0"/>
        <w:spacing w:line="500" w:lineRule="exact"/>
        <w:ind w:firstLine="420" w:firstLineChars="200"/>
        <w:jc w:val="left"/>
        <w:rPr>
          <w:rFonts w:ascii="Times New Roman" w:hAnsi="Times New Roman" w:cs="Times New Roman" w:eastAsiaTheme="majorEastAsia"/>
          <w:color w:val="FF0000"/>
          <w:szCs w:val="21"/>
        </w:rPr>
      </w:pPr>
      <w:r>
        <w:rPr>
          <w:rFonts w:ascii="Times New Roman" w:hAnsi="Times New Roman" w:cs="Times New Roman" w:eastAsiaTheme="majorEastAsia"/>
          <w:color w:val="FF0000"/>
          <w:szCs w:val="21"/>
        </w:rPr>
        <w:t>3.报名方法：投标人下载附件《投标报名信息表》并完整填写信息后在规定的报名日期内发送至邮箱：</w:t>
      </w:r>
      <w:r>
        <w:rPr>
          <w:rFonts w:ascii="Times New Roman" w:hAnsi="Times New Roman" w:cs="Times New Roman" w:eastAsiaTheme="majorEastAsia"/>
          <w:color w:val="FF0000"/>
          <w:szCs w:val="21"/>
        </w:rPr>
        <w:fldChar w:fldCharType="begin"/>
      </w:r>
      <w:r>
        <w:rPr>
          <w:rFonts w:ascii="Times New Roman" w:hAnsi="Times New Roman" w:cs="Times New Roman" w:eastAsiaTheme="majorEastAsia"/>
          <w:color w:val="FF0000"/>
          <w:szCs w:val="21"/>
        </w:rPr>
        <w:instrText xml:space="preserve"> HYPERLINK "mailto:******@qq.com" </w:instrText>
      </w:r>
      <w:r>
        <w:rPr>
          <w:rFonts w:ascii="Times New Roman" w:hAnsi="Times New Roman" w:cs="Times New Roman" w:eastAsiaTheme="majorEastAsia"/>
          <w:color w:val="FF0000"/>
          <w:szCs w:val="21"/>
        </w:rPr>
        <w:fldChar w:fldCharType="separate"/>
      </w:r>
      <w:r>
        <w:rPr>
          <w:rFonts w:ascii="Times New Roman" w:hAnsi="Times New Roman" w:cs="Times New Roman" w:eastAsiaTheme="majorEastAsia"/>
          <w:color w:val="FF0000"/>
          <w:szCs w:val="21"/>
        </w:rPr>
        <w:t>942219419@qq.com</w:t>
      </w:r>
      <w:r>
        <w:rPr>
          <w:rFonts w:ascii="Times New Roman" w:hAnsi="Times New Roman" w:cs="Times New Roman" w:eastAsiaTheme="majorEastAsia"/>
          <w:color w:val="FF0000"/>
          <w:szCs w:val="21"/>
        </w:rPr>
        <w:fldChar w:fldCharType="end"/>
      </w:r>
    </w:p>
    <w:p w14:paraId="73FF1C3A">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14:paraId="6E1A3E6E">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2025</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12</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8</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14</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30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p>
    <w:p w14:paraId="27A079BB">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hint="eastAsia" w:ascii="Times New Roman" w:hAnsi="Times New Roman" w:cs="Times New Roman" w:eastAsiaTheme="minorEastAsia"/>
          <w:szCs w:val="15"/>
          <w:u w:val="single"/>
        </w:rPr>
        <w:t>安徽省合肥市</w:t>
      </w:r>
      <w:r>
        <w:rPr>
          <w:rFonts w:hint="eastAsia" w:ascii="Times New Roman" w:hAnsi="Times New Roman" w:cs="Times New Roman" w:eastAsiaTheme="minorEastAsia"/>
          <w:szCs w:val="15"/>
          <w:u w:val="single"/>
          <w:lang w:val="en-US" w:eastAsia="zh-CN"/>
        </w:rPr>
        <w:t>滨湖新区</w:t>
      </w:r>
      <w:r>
        <w:rPr>
          <w:rFonts w:hint="eastAsia" w:ascii="Times New Roman" w:hAnsi="Times New Roman" w:cs="Times New Roman" w:eastAsiaTheme="minorEastAsia"/>
          <w:szCs w:val="15"/>
          <w:u w:val="single"/>
        </w:rPr>
        <w:t>锦绣大道3899号合肥滨湖国际会展中心</w:t>
      </w:r>
      <w:r>
        <w:rPr>
          <w:rFonts w:hint="eastAsia" w:ascii="Times New Roman" w:hAnsi="Times New Roman" w:cs="Times New Roman"/>
          <w:szCs w:val="15"/>
          <w:u w:val="single"/>
          <w:lang w:val="en-US" w:eastAsia="zh-CN"/>
        </w:rPr>
        <w:t>行政办公楼</w:t>
      </w:r>
      <w:r>
        <w:rPr>
          <w:rFonts w:hint="eastAsia" w:ascii="Times New Roman" w:hAnsi="Times New Roman" w:cs="Times New Roman" w:eastAsiaTheme="minorEastAsia"/>
          <w:szCs w:val="15"/>
          <w:u w:val="single"/>
        </w:rPr>
        <w:t>419室</w:t>
      </w:r>
    </w:p>
    <w:p w14:paraId="34C847C5">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14:paraId="06DBB7FE">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14:paraId="0E3D4EB2">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14:paraId="349C7916">
      <w:pPr>
        <w:spacing w:line="500" w:lineRule="exact"/>
        <w:ind w:firstLine="435"/>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14:paraId="08AA3E5F">
      <w:pPr>
        <w:widowControl/>
        <w:spacing w:line="460" w:lineRule="exact"/>
        <w:ind w:firstLine="420" w:firstLineChars="200"/>
        <w:jc w:val="left"/>
        <w:rPr>
          <w:rFonts w:hint="eastAsia" w:ascii="Times New Roman" w:hAnsi="Times New Roman" w:eastAsia="宋体"/>
          <w:bCs/>
          <w:snapToGrid w:val="0"/>
          <w:kern w:val="0"/>
          <w:szCs w:val="21"/>
          <w:u w:val="single"/>
          <w:lang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lang w:val="en-US" w:eastAsia="zh-CN"/>
        </w:rPr>
        <w:t>合肥政文国际会展管理有限公司</w:t>
      </w:r>
    </w:p>
    <w:p w14:paraId="66022C0D">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滨湖新</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14:paraId="7F262FC8">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hint="eastAsia" w:ascii="Times New Roman" w:hAnsi="Times New Roman"/>
          <w:bCs/>
          <w:snapToGrid w:val="0"/>
          <w:kern w:val="0"/>
          <w:szCs w:val="21"/>
          <w:u w:val="single"/>
          <w:lang w:val="en-US" w:eastAsia="zh-CN"/>
        </w:rPr>
        <w:t>袁工</w:t>
      </w:r>
      <w:r>
        <w:rPr>
          <w:rFonts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14:paraId="485EE964">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0551-65790295</w:t>
      </w:r>
      <w:r>
        <w:rPr>
          <w:rFonts w:ascii="Times New Roman" w:hAnsi="Times New Roman"/>
          <w:bCs/>
          <w:snapToGrid w:val="0"/>
          <w:kern w:val="0"/>
          <w:szCs w:val="21"/>
        </w:rPr>
        <w:t xml:space="preserve"> </w:t>
      </w:r>
    </w:p>
    <w:p w14:paraId="36F90892">
      <w:pPr>
        <w:spacing w:line="500" w:lineRule="exact"/>
        <w:ind w:firstLine="435"/>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14:paraId="6A7D2E30">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监督管理部门：</w:t>
      </w:r>
      <w:r>
        <w:rPr>
          <w:rFonts w:hint="eastAsia" w:ascii="Times New Roman" w:hAnsi="Times New Roman"/>
          <w:bCs/>
          <w:snapToGrid w:val="0"/>
          <w:kern w:val="0"/>
          <w:szCs w:val="21"/>
          <w:u w:val="single"/>
          <w:lang w:val="en-US" w:eastAsia="zh-CN"/>
        </w:rPr>
        <w:t>合肥政文国际会展管理有限公司审计监督部</w:t>
      </w:r>
    </w:p>
    <w:p w14:paraId="669EF4EB">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14:paraId="1E92DE87">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0551-65790230</w:t>
      </w:r>
    </w:p>
    <w:p w14:paraId="45FE2573">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14:paraId="7BE8B96C">
      <w:pPr>
        <w:widowControl/>
        <w:spacing w:line="500" w:lineRule="exact"/>
        <w:ind w:firstLine="420" w:firstLineChars="200"/>
        <w:jc w:val="left"/>
        <w:rPr>
          <w:bCs/>
          <w:snapToGrid w:val="0"/>
          <w:kern w:val="0"/>
          <w:szCs w:val="21"/>
        </w:rPr>
      </w:pPr>
      <w:r>
        <w:rPr>
          <w:bCs/>
          <w:snapToGrid w:val="0"/>
          <w:kern w:val="0"/>
          <w:szCs w:val="21"/>
        </w:rPr>
        <w:t>有任何疑问或问题，请在工作时间（周一至周五，上午08:</w:t>
      </w:r>
      <w:r>
        <w:rPr>
          <w:rFonts w:hint="eastAsia"/>
          <w:bCs/>
          <w:snapToGrid w:val="0"/>
          <w:kern w:val="0"/>
          <w:szCs w:val="21"/>
          <w:lang w:val="en-US" w:eastAsia="zh-CN"/>
        </w:rPr>
        <w:t>3</w:t>
      </w:r>
      <w:r>
        <w:rPr>
          <w:bCs/>
          <w:snapToGrid w:val="0"/>
          <w:kern w:val="0"/>
          <w:szCs w:val="21"/>
        </w:rPr>
        <w:t>0-1</w:t>
      </w:r>
      <w:r>
        <w:rPr>
          <w:rFonts w:hint="eastAsia"/>
          <w:bCs/>
          <w:snapToGrid w:val="0"/>
          <w:kern w:val="0"/>
          <w:szCs w:val="21"/>
          <w:lang w:val="en-US" w:eastAsia="zh-CN"/>
        </w:rPr>
        <w:t>1</w:t>
      </w:r>
      <w:r>
        <w:rPr>
          <w:bCs/>
          <w:snapToGrid w:val="0"/>
          <w:kern w:val="0"/>
          <w:szCs w:val="21"/>
        </w:rPr>
        <w:t>:</w:t>
      </w:r>
      <w:r>
        <w:rPr>
          <w:rFonts w:hint="eastAsia"/>
          <w:bCs/>
          <w:snapToGrid w:val="0"/>
          <w:kern w:val="0"/>
          <w:szCs w:val="21"/>
          <w:lang w:val="en-US" w:eastAsia="zh-CN"/>
        </w:rPr>
        <w:t>3</w:t>
      </w:r>
      <w:r>
        <w:rPr>
          <w:bCs/>
          <w:snapToGrid w:val="0"/>
          <w:kern w:val="0"/>
          <w:szCs w:val="21"/>
        </w:rPr>
        <w:t>0，下午</w:t>
      </w:r>
      <w:r>
        <w:rPr>
          <w:rFonts w:hint="eastAsia"/>
          <w:bCs/>
          <w:snapToGrid w:val="0"/>
          <w:kern w:val="0"/>
          <w:szCs w:val="21"/>
          <w:lang w:val="en-US" w:eastAsia="zh-CN"/>
        </w:rPr>
        <w:t>1</w:t>
      </w:r>
      <w:r>
        <w:rPr>
          <w:bCs/>
          <w:snapToGrid w:val="0"/>
          <w:kern w:val="0"/>
          <w:szCs w:val="21"/>
        </w:rPr>
        <w:t>:30-5:</w:t>
      </w:r>
      <w:r>
        <w:rPr>
          <w:rFonts w:hint="eastAsia"/>
          <w:bCs/>
          <w:snapToGrid w:val="0"/>
          <w:kern w:val="0"/>
          <w:szCs w:val="21"/>
          <w:lang w:val="en-US" w:eastAsia="zh-CN"/>
        </w:rPr>
        <w:t>0</w:t>
      </w:r>
      <w:r>
        <w:rPr>
          <w:bCs/>
          <w:snapToGrid w:val="0"/>
          <w:kern w:val="0"/>
          <w:szCs w:val="21"/>
        </w:rPr>
        <w:t>0，节假日休息）与项目联系人联系。</w:t>
      </w:r>
    </w:p>
    <w:p w14:paraId="5BBE55BA">
      <w:pPr>
        <w:spacing w:line="500" w:lineRule="exact"/>
        <w:ind w:firstLine="482" w:firstLineChars="200"/>
        <w:outlineLvl w:val="1"/>
        <w:rPr>
          <w:rFonts w:ascii="Times New Roman" w:hAnsi="Times New Roman" w:cs="Times New Roman" w:eastAsiaTheme="majorEastAsia"/>
          <w:b/>
          <w:bCs/>
          <w:sz w:val="24"/>
          <w:szCs w:val="24"/>
        </w:rPr>
      </w:pPr>
      <w:r>
        <w:rPr>
          <w:rFonts w:hint="eastAsia" w:ascii="Times New Roman" w:hAnsi="Times New Roman" w:cs="Times New Roman" w:eastAsiaTheme="majorEastAsia"/>
          <w:b/>
          <w:bCs/>
          <w:sz w:val="24"/>
          <w:szCs w:val="24"/>
          <w:lang w:val="en-US" w:eastAsia="zh-CN"/>
        </w:rPr>
        <w:t>八、</w:t>
      </w:r>
      <w:r>
        <w:rPr>
          <w:rFonts w:ascii="Times New Roman" w:hAnsi="Times New Roman" w:cs="Times New Roman" w:eastAsiaTheme="majorEastAsia"/>
          <w:b/>
          <w:bCs/>
          <w:sz w:val="24"/>
          <w:szCs w:val="24"/>
        </w:rPr>
        <w:t>投标保证金账户</w:t>
      </w:r>
    </w:p>
    <w:p w14:paraId="15EC3350">
      <w:pPr>
        <w:widowControl/>
        <w:spacing w:line="460" w:lineRule="exact"/>
        <w:ind w:firstLine="420" w:firstLineChars="200"/>
        <w:jc w:val="left"/>
        <w:rPr>
          <w:rFonts w:hint="eastAsia" w:ascii="Times New Roman" w:hAnsi="Times New Roman"/>
          <w:bCs/>
          <w:snapToGrid w:val="0"/>
          <w:kern w:val="0"/>
          <w:szCs w:val="21"/>
          <w:u w:val="none"/>
        </w:rPr>
      </w:pPr>
      <w:r>
        <w:rPr>
          <w:rFonts w:ascii="Times New Roman" w:hAnsi="Times New Roman"/>
          <w:bCs/>
          <w:snapToGrid w:val="0"/>
          <w:kern w:val="0"/>
          <w:szCs w:val="21"/>
        </w:rPr>
        <w:t>单位名称</w:t>
      </w:r>
      <w:r>
        <w:rPr>
          <w:rFonts w:ascii="Times New Roman" w:hAnsi="Times New Roman"/>
          <w:bCs/>
          <w:snapToGrid w:val="0"/>
          <w:kern w:val="0"/>
          <w:szCs w:val="21"/>
          <w:u w:val="none"/>
        </w:rPr>
        <w:t>：</w:t>
      </w:r>
      <w:r>
        <w:rPr>
          <w:rFonts w:hint="eastAsia" w:ascii="Times New Roman" w:hAnsi="Times New Roman"/>
          <w:bCs/>
          <w:snapToGrid w:val="0"/>
          <w:kern w:val="0"/>
          <w:szCs w:val="21"/>
          <w:u w:val="none"/>
        </w:rPr>
        <w:t>合肥政文国际会展管理有限公司</w:t>
      </w:r>
    </w:p>
    <w:p w14:paraId="5BFCF348">
      <w:pPr>
        <w:widowControl/>
        <w:spacing w:line="460" w:lineRule="exact"/>
        <w:ind w:firstLine="42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开户银行账号：</w:t>
      </w:r>
      <w:r>
        <w:rPr>
          <w:rFonts w:hint="eastAsia" w:ascii="Times New Roman" w:hAnsi="Times New Roman"/>
          <w:bCs/>
          <w:snapToGrid w:val="0"/>
          <w:kern w:val="0"/>
          <w:szCs w:val="21"/>
          <w:u w:val="none"/>
        </w:rPr>
        <w:t>76690188000476007</w:t>
      </w:r>
    </w:p>
    <w:p w14:paraId="2CFDE7DD">
      <w:pPr>
        <w:widowControl/>
        <w:spacing w:line="460" w:lineRule="exact"/>
        <w:ind w:firstLine="42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w:t>
      </w:r>
      <w:r>
        <w:rPr>
          <w:rFonts w:hint="eastAsia" w:ascii="Times New Roman" w:hAnsi="Times New Roman"/>
          <w:bCs/>
          <w:snapToGrid w:val="0"/>
          <w:kern w:val="0"/>
          <w:szCs w:val="21"/>
          <w:u w:val="none"/>
        </w:rPr>
        <w:t>光大银行合肥分行营业部</w:t>
      </w:r>
    </w:p>
    <w:p w14:paraId="190FA604">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备注：</w:t>
      </w:r>
    </w:p>
    <w:p w14:paraId="6FC4770B">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（1）转帐时请备注“××项目投标保证金，并将转账凭证扫描件发送至</w:t>
      </w:r>
      <w:r>
        <w:rPr>
          <w:bCs/>
          <w:snapToGrid w:val="0"/>
          <w:color w:val="000000"/>
        </w:rPr>
        <w:fldChar w:fldCharType="begin"/>
      </w:r>
      <w:r>
        <w:rPr>
          <w:bCs/>
          <w:snapToGrid w:val="0"/>
          <w:color w:val="000000"/>
        </w:rPr>
        <w:instrText xml:space="preserve"> HYPERLINK "mailto:******@qq.com" </w:instrText>
      </w:r>
      <w:r>
        <w:rPr>
          <w:bCs/>
          <w:snapToGrid w:val="0"/>
          <w:color w:val="000000"/>
        </w:rPr>
        <w:fldChar w:fldCharType="separate"/>
      </w:r>
      <w:r>
        <w:rPr>
          <w:rFonts w:ascii="微软雅黑" w:hAnsi="微软雅黑" w:eastAsia="微软雅黑" w:cs="微软雅黑"/>
          <w:i w:val="0"/>
          <w:iCs w:val="0"/>
          <w:caps w:val="0"/>
          <w:spacing w:val="0"/>
          <w:sz w:val="18"/>
          <w:szCs w:val="18"/>
          <w:shd w:val="clear" w:color="auto" w:fill="FFFFFF"/>
        </w:rPr>
        <w:t>942219419</w:t>
      </w:r>
      <w:r>
        <w:rPr>
          <w:bCs/>
          <w:snapToGrid w:val="0"/>
          <w:color w:val="000000"/>
        </w:rPr>
        <w:t>@qq.com</w:t>
      </w:r>
      <w:r>
        <w:rPr>
          <w:bCs/>
          <w:snapToGrid w:val="0"/>
          <w:color w:val="000000"/>
        </w:rPr>
        <w:fldChar w:fldCharType="end"/>
      </w:r>
      <w:r>
        <w:rPr>
          <w:rFonts w:hint="eastAsia" w:ascii="Times New Roman" w:hAnsi="Times New Roman" w:eastAsia="宋体" w:cs="Times New Roman"/>
          <w:bCs/>
          <w:snapToGrid w:val="0"/>
          <w:color w:val="auto"/>
          <w:kern w:val="0"/>
          <w:szCs w:val="21"/>
        </w:rPr>
        <w:t>邮箱；</w:t>
      </w:r>
    </w:p>
    <w:p w14:paraId="669959EC">
      <w:pPr>
        <w:widowControl/>
        <w:spacing w:line="500" w:lineRule="exact"/>
        <w:ind w:firstLine="420" w:firstLineChars="200"/>
        <w:jc w:val="left"/>
        <w:rPr>
          <w:rFonts w:hint="default" w:ascii="Times New Roman" w:hAnsi="Times New Roman" w:eastAsia="宋体" w:cs="Times New Roman"/>
          <w:bCs/>
          <w:snapToGrid w:val="0"/>
          <w:color w:val="auto"/>
          <w:kern w:val="0"/>
          <w:szCs w:val="21"/>
          <w:lang w:val="en-US" w:eastAsia="zh-CN"/>
        </w:rPr>
      </w:pPr>
      <w:r>
        <w:rPr>
          <w:rFonts w:hint="eastAsia" w:ascii="Times New Roman" w:hAnsi="Times New Roman" w:eastAsia="宋体" w:cs="Times New Roman"/>
          <w:bCs/>
          <w:snapToGrid w:val="0"/>
          <w:color w:val="auto"/>
          <w:kern w:val="0"/>
          <w:szCs w:val="21"/>
        </w:rPr>
        <w:t>（2）投标保证金缴纳截止日为报名截止日。</w:t>
      </w:r>
    </w:p>
    <w:p w14:paraId="414021A1">
      <w:pPr>
        <w:spacing w:line="360" w:lineRule="auto"/>
        <w:ind w:firstLine="435"/>
        <w:rPr>
          <w:rFonts w:ascii="Times New Roman" w:hAnsi="Times New Roman" w:cs="Times New Roman" w:eastAsiaTheme="minorEastAsia"/>
          <w:sz w:val="24"/>
          <w:szCs w:val="18"/>
        </w:rPr>
      </w:pPr>
    </w:p>
    <w:p w14:paraId="413AE80D">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14:paraId="2B1E00E1">
      <w:pPr>
        <w:spacing w:line="360" w:lineRule="auto"/>
        <w:jc w:val="center"/>
        <w:outlineLvl w:val="1"/>
        <w:rPr>
          <w:rFonts w:ascii="Times New Roman" w:hAnsi="Times New Roman" w:cs="Times New Roman" w:eastAsiaTheme="minorEastAsia"/>
          <w:b/>
          <w:sz w:val="28"/>
        </w:rPr>
      </w:pPr>
      <w:bookmarkStart w:id="2" w:name="_Toc11969"/>
      <w:bookmarkStart w:id="3" w:name="_Toc22742"/>
      <w:r>
        <w:rPr>
          <w:rFonts w:ascii="Times New Roman" w:hAnsi="Times New Roman" w:cs="Times New Roman" w:eastAsiaTheme="minorEastAsia"/>
          <w:b/>
          <w:sz w:val="28"/>
        </w:rPr>
        <w:t>第二章  投标人须知</w:t>
      </w:r>
    </w:p>
    <w:p w14:paraId="4E5EE91C">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3"/>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14:paraId="5FD26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41554EF">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14:paraId="35EE13BB">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14:paraId="5BD53CE3">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473EA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60BF21B">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14:paraId="7A21597C">
            <w:pPr>
              <w:pStyle w:val="31"/>
              <w:widowControl w:val="0"/>
              <w:spacing w:before="0" w:beforeAutospacing="0" w:after="0" w:afterAutospacing="0"/>
              <w:jc w:val="center"/>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14:paraId="18CCFD1A">
            <w:pPr>
              <w:pStyle w:val="31"/>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01ABE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92EBEBD">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14:paraId="0853D8E1">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14:paraId="4F2EDC75">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7E701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1F5FD19">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3</w:t>
            </w:r>
          </w:p>
        </w:tc>
        <w:tc>
          <w:tcPr>
            <w:tcW w:w="1072" w:type="pct"/>
            <w:vAlign w:val="center"/>
          </w:tcPr>
          <w:p w14:paraId="179C2796">
            <w:pPr>
              <w:spacing w:line="500" w:lineRule="exact"/>
              <w:jc w:val="center"/>
              <w:rPr>
                <w:rFonts w:hint="eastAsia" w:ascii="Times New Roman" w:hAnsi="Times New Roman"/>
                <w:color w:val="000000"/>
                <w:lang w:val="en-US" w:eastAsia="zh-CN"/>
              </w:rPr>
            </w:pPr>
            <w:r>
              <w:rPr>
                <w:rFonts w:hint="eastAsia" w:cs="宋体"/>
                <w:b w:val="0"/>
                <w:sz w:val="21"/>
                <w:szCs w:val="21"/>
              </w:rPr>
              <w:t>现场踏勘</w:t>
            </w:r>
          </w:p>
        </w:tc>
        <w:tc>
          <w:tcPr>
            <w:tcW w:w="3350" w:type="pct"/>
            <w:vAlign w:val="center"/>
          </w:tcPr>
          <w:p w14:paraId="3015CCBA">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14:paraId="2963D42C">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14:paraId="14AC8146">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14:paraId="7719A08E">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14:paraId="36F164E6">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cs="宋体"/>
                <w:bCs w:val="0"/>
                <w:kern w:val="2"/>
                <w:sz w:val="21"/>
                <w:szCs w:val="21"/>
              </w:rPr>
              <w:t>备注：如投标人未参加招标人统一组织的现场踏勘，视同放弃现场踏勘，由此引起的一切责任由投标人自行承担。</w:t>
            </w:r>
          </w:p>
        </w:tc>
      </w:tr>
      <w:tr w14:paraId="5AF5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E4D538A">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4</w:t>
            </w:r>
          </w:p>
        </w:tc>
        <w:tc>
          <w:tcPr>
            <w:tcW w:w="1072" w:type="pct"/>
            <w:vAlign w:val="center"/>
          </w:tcPr>
          <w:p w14:paraId="48164D42">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14:paraId="55CEA80F">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14:paraId="37F880F6">
            <w:pPr>
              <w:pStyle w:val="38"/>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14:paraId="36351A03">
            <w:pPr>
              <w:pStyle w:val="38"/>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14:paraId="1F710DD2">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14:paraId="1790FFAC">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14:paraId="401A9364">
            <w:pPr>
              <w:pStyle w:val="38"/>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14:paraId="3E29F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30A3FE7">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5</w:t>
            </w:r>
          </w:p>
        </w:tc>
        <w:tc>
          <w:tcPr>
            <w:tcW w:w="1072" w:type="pct"/>
            <w:vAlign w:val="center"/>
          </w:tcPr>
          <w:p w14:paraId="0CEADE84">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14:paraId="1F536C44">
            <w:pPr>
              <w:pStyle w:val="31"/>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评审小组推荐中标人的数量：1家；</w:t>
            </w:r>
          </w:p>
          <w:p w14:paraId="6B4B44F0">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4E6DBE49">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招标人委托评审小组确定     </w:t>
            </w:r>
          </w:p>
          <w:p w14:paraId="38C1FDAD">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175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E10CB14">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6</w:t>
            </w:r>
          </w:p>
        </w:tc>
        <w:tc>
          <w:tcPr>
            <w:tcW w:w="1072" w:type="pct"/>
            <w:vAlign w:val="center"/>
          </w:tcPr>
          <w:p w14:paraId="634A02C9">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20BAF392">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hint="eastAsia" w:ascii="Segoe UI Symbol" w:hAnsi="Segoe UI Symbol" w:eastAsia="宋体" w:cs="Segoe UI Symbol"/>
                <w:b w:val="0"/>
                <w:sz w:val="21"/>
                <w:szCs w:val="21"/>
                <w:lang w:eastAsia="zh-CN"/>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FE"/>
            </w:r>
            <w:r>
              <w:rPr>
                <w:rFonts w:ascii="Times New Roman" w:hAnsi="Times New Roman" w:eastAsia="宋体" w:cs="Times New Roman"/>
                <w:b w:val="0"/>
                <w:sz w:val="21"/>
                <w:szCs w:val="21"/>
              </w:rPr>
              <w:t>数据电文</w:t>
            </w:r>
          </w:p>
          <w:p w14:paraId="609BC898">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w:t>
            </w:r>
            <w:r>
              <w:rPr>
                <w:rFonts w:hint="eastAsia" w:ascii="Times New Roman" w:hAnsi="Times New Roman" w:eastAsia="宋体" w:cs="Times New Roman"/>
                <w:b/>
                <w:bCs/>
                <w:kern w:val="0"/>
                <w:szCs w:val="21"/>
                <w:lang w:val="en-US" w:eastAsia="zh-CN"/>
              </w:rPr>
              <w:t>或邮箱</w:t>
            </w:r>
            <w:r>
              <w:rPr>
                <w:rFonts w:ascii="Times New Roman" w:hAnsi="Times New Roman" w:eastAsia="宋体" w:cs="Times New Roman"/>
                <w:b/>
                <w:bCs/>
                <w:kern w:val="0"/>
                <w:szCs w:val="21"/>
              </w:rPr>
              <w:t>向中标人发出中标通知书。</w:t>
            </w:r>
          </w:p>
        </w:tc>
      </w:tr>
      <w:tr w14:paraId="012A5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4835FFB">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7</w:t>
            </w:r>
          </w:p>
        </w:tc>
        <w:tc>
          <w:tcPr>
            <w:tcW w:w="1072" w:type="pct"/>
            <w:vAlign w:val="center"/>
          </w:tcPr>
          <w:p w14:paraId="37963AD4">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12F7040B">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lang w:eastAsia="zh-CN"/>
              </w:rPr>
              <w:t>合肥政文国际会展管理有限公司</w:t>
            </w:r>
            <w:r>
              <w:rPr>
                <w:rFonts w:ascii="Times New Roman" w:hAnsi="Times New Roman" w:eastAsia="宋体" w:cs="Times New Roman"/>
                <w:b w:val="0"/>
                <w:bCs w:val="0"/>
                <w:sz w:val="21"/>
                <w:szCs w:val="21"/>
              </w:rPr>
              <w:t>官网查看</w:t>
            </w:r>
          </w:p>
          <w:p w14:paraId="1FA7E70E">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14:paraId="69810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12EDD79">
            <w:pPr>
              <w:pStyle w:val="32"/>
              <w:pBdr>
                <w:bottom w:val="none" w:color="auto" w:sz="0" w:space="0"/>
              </w:pBdr>
              <w:tabs>
                <w:tab w:val="clear" w:pos="4153"/>
                <w:tab w:val="clear" w:pos="8306"/>
              </w:tabs>
              <w:adjustRightInd/>
              <w:spacing w:line="360" w:lineRule="auto"/>
              <w:jc w:val="center"/>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8</w:t>
            </w:r>
          </w:p>
        </w:tc>
        <w:tc>
          <w:tcPr>
            <w:tcW w:w="1072" w:type="pct"/>
            <w:vAlign w:val="center"/>
          </w:tcPr>
          <w:p w14:paraId="67BBEF88">
            <w:pPr>
              <w:pStyle w:val="31"/>
              <w:widowControl w:val="0"/>
              <w:spacing w:before="0" w:beforeAutospacing="0" w:after="0" w:afterAutospacing="0" w:line="360" w:lineRule="auto"/>
              <w:jc w:val="both"/>
              <w:rPr>
                <w:rFonts w:hint="eastAsia" w:ascii="Times New Roman" w:hAnsi="Times New Roman" w:eastAsia="宋体" w:cs="Times New Roman"/>
                <w:b w:val="0"/>
                <w:bCs/>
                <w:kern w:val="0"/>
                <w:sz w:val="21"/>
                <w:szCs w:val="21"/>
                <w:lang w:val="en-US" w:eastAsia="zh-CN" w:bidi="ar-SA"/>
              </w:rPr>
            </w:pPr>
            <w:r>
              <w:rPr>
                <w:rFonts w:hint="eastAsia" w:ascii="Times New Roman" w:hAnsi="Times New Roman" w:cs="Times New Roman"/>
                <w:b w:val="0"/>
                <w:sz w:val="21"/>
                <w:szCs w:val="21"/>
                <w:lang w:val="en-US" w:eastAsia="zh-CN"/>
              </w:rPr>
              <w:t>投标保证金</w:t>
            </w:r>
          </w:p>
        </w:tc>
        <w:tc>
          <w:tcPr>
            <w:tcW w:w="3350" w:type="pct"/>
            <w:vAlign w:val="top"/>
          </w:tcPr>
          <w:p w14:paraId="30DF47FF">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1.是否要求投标人递交投标保证金：</w:t>
            </w:r>
          </w:p>
          <w:p w14:paraId="3F3041C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不要求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要求</w:t>
            </w:r>
          </w:p>
          <w:p w14:paraId="2E863A3D">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投标保证金的形式：</w:t>
            </w:r>
          </w:p>
          <w:p w14:paraId="4018E658">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银行转账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银行电汇  </w:t>
            </w:r>
          </w:p>
          <w:p w14:paraId="368A8D4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Times New Roman"/>
                <w:bCs/>
                <w:snapToGrid w:val="0"/>
                <w:sz w:val="21"/>
                <w:szCs w:val="21"/>
                <w:lang w:val="en-US" w:eastAsia="zh-CN"/>
              </w:rPr>
            </w:pPr>
            <w:r>
              <w:rPr>
                <w:rFonts w:ascii="Times New Roman" w:hAnsi="Times New Roman" w:eastAsia="宋体" w:cs="Times New Roman"/>
                <w:bCs/>
                <w:snapToGrid w:val="0"/>
                <w:sz w:val="21"/>
                <w:szCs w:val="21"/>
              </w:rPr>
              <w:t>投标保证金的金额：</w:t>
            </w:r>
            <w:r>
              <w:rPr>
                <w:rFonts w:hint="eastAsia" w:ascii="Times New Roman" w:hAnsi="Times New Roman" w:eastAsia="宋体" w:cs="Times New Roman"/>
                <w:bCs/>
                <w:snapToGrid w:val="0"/>
                <w:sz w:val="21"/>
                <w:szCs w:val="21"/>
                <w:highlight w:val="yellow"/>
                <w:lang w:val="en-US" w:eastAsia="zh-CN"/>
              </w:rPr>
              <w:t>免收</w:t>
            </w:r>
          </w:p>
          <w:p w14:paraId="3B65DB7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 xml:space="preserve">递交要求： </w:t>
            </w:r>
          </w:p>
          <w:p w14:paraId="740DC4D9">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①投标保证金的到账截止时间：</w:t>
            </w:r>
            <w:r>
              <w:rPr>
                <w:rFonts w:hint="eastAsia" w:ascii="Times New Roman" w:hAnsi="Times New Roman" w:eastAsia="宋体" w:cs="Times New Roman"/>
                <w:bCs/>
                <w:snapToGrid w:val="0"/>
                <w:sz w:val="21"/>
                <w:szCs w:val="21"/>
              </w:rPr>
              <w:t>报名</w:t>
            </w:r>
            <w:r>
              <w:rPr>
                <w:rFonts w:ascii="Times New Roman" w:hAnsi="Times New Roman" w:eastAsia="宋体" w:cs="Times New Roman"/>
                <w:bCs/>
                <w:snapToGrid w:val="0"/>
                <w:sz w:val="21"/>
                <w:szCs w:val="21"/>
              </w:rPr>
              <w:t>截止时间。</w:t>
            </w:r>
          </w:p>
          <w:p w14:paraId="318B2EDB">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②投标保证金应当从投标人</w:t>
            </w:r>
            <w:r>
              <w:rPr>
                <w:rFonts w:hint="eastAsia" w:ascii="Times New Roman" w:hAnsi="Times New Roman" w:eastAsia="宋体" w:cs="Times New Roman"/>
                <w:bCs/>
                <w:snapToGrid w:val="0"/>
                <w:sz w:val="21"/>
                <w:szCs w:val="21"/>
                <w:lang w:val="en-US" w:eastAsia="zh-CN"/>
              </w:rPr>
              <w:t>对公</w:t>
            </w:r>
            <w:r>
              <w:rPr>
                <w:rFonts w:ascii="Times New Roman" w:hAnsi="Times New Roman" w:eastAsia="宋体" w:cs="Times New Roman"/>
                <w:bCs/>
                <w:snapToGrid w:val="0"/>
                <w:sz w:val="21"/>
                <w:szCs w:val="21"/>
              </w:rPr>
              <w:t>账户转出，转出保证金的账户与投标人投标文件提供的</w:t>
            </w:r>
            <w:r>
              <w:rPr>
                <w:rFonts w:hint="eastAsia" w:ascii="Times New Roman" w:hAnsi="Times New Roman" w:eastAsia="宋体" w:cs="Times New Roman"/>
                <w:bCs/>
                <w:snapToGrid w:val="0"/>
                <w:sz w:val="21"/>
                <w:szCs w:val="21"/>
                <w:lang w:val="en-US" w:eastAsia="zh-CN"/>
              </w:rPr>
              <w:t>对公</w:t>
            </w:r>
            <w:r>
              <w:rPr>
                <w:rFonts w:ascii="Times New Roman" w:hAnsi="Times New Roman" w:eastAsia="宋体" w:cs="Times New Roman"/>
                <w:bCs/>
                <w:snapToGrid w:val="0"/>
                <w:sz w:val="21"/>
                <w:szCs w:val="21"/>
              </w:rPr>
              <w:t>账户不一致的，视为未按招标文件规定要求递交投标保证金。</w:t>
            </w:r>
          </w:p>
          <w:p w14:paraId="6B339D8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bCs/>
                <w:snapToGrid w:val="0"/>
                <w:kern w:val="2"/>
                <w:sz w:val="21"/>
                <w:szCs w:val="21"/>
                <w:lang w:val="en-US" w:eastAsia="zh-CN" w:bidi="ar-SA"/>
              </w:rPr>
            </w:pPr>
            <w:r>
              <w:rPr>
                <w:rFonts w:ascii="Times New Roman" w:hAnsi="Times New Roman" w:eastAsia="宋体" w:cs="Times New Roman"/>
                <w:bCs/>
                <w:snapToGrid w:val="0"/>
                <w:sz w:val="21"/>
                <w:szCs w:val="21"/>
              </w:rPr>
              <w:t>③转帐时请备注“××项目投标保证金，并将转账凭证扫描件发送至942219419@qq.com邮箱</w:t>
            </w:r>
            <w:r>
              <w:rPr>
                <w:rFonts w:hint="eastAsia" w:ascii="Times New Roman" w:hAnsi="Times New Roman" w:eastAsia="宋体" w:cs="Times New Roman"/>
                <w:bCs/>
                <w:snapToGrid w:val="0"/>
                <w:sz w:val="21"/>
                <w:szCs w:val="21"/>
              </w:rPr>
              <w:t>。</w:t>
            </w:r>
          </w:p>
        </w:tc>
      </w:tr>
      <w:tr w14:paraId="76E0C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A2C74AC">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9</w:t>
            </w:r>
          </w:p>
        </w:tc>
        <w:tc>
          <w:tcPr>
            <w:tcW w:w="1072" w:type="pct"/>
            <w:vAlign w:val="center"/>
          </w:tcPr>
          <w:p w14:paraId="5D7597AC">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14:paraId="3F2CA639">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14:paraId="1415E85F">
            <w:pPr>
              <w:spacing w:line="360" w:lineRule="auto"/>
              <w:rPr>
                <w:rFonts w:hint="default" w:ascii="Times New Roman" w:hAnsi="Times New Roman" w:eastAsia="宋体" w:cs="Times New Roman"/>
                <w:szCs w:val="21"/>
                <w:lang w:val="en-US" w:eastAsia="zh-CN"/>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tc>
      </w:tr>
      <w:tr w14:paraId="035D6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90F00E1">
            <w:pPr>
              <w:pStyle w:val="31"/>
              <w:widowControl w:val="0"/>
              <w:spacing w:before="0" w:beforeAutospacing="0" w:after="0" w:afterAutospacing="0" w:line="360" w:lineRule="auto"/>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10</w:t>
            </w:r>
          </w:p>
        </w:tc>
        <w:tc>
          <w:tcPr>
            <w:tcW w:w="1072" w:type="pct"/>
            <w:vAlign w:val="center"/>
          </w:tcPr>
          <w:p w14:paraId="29F26E6A">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14:paraId="77B6FC40">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1</w:t>
            </w:r>
            <w:r>
              <w:rPr>
                <w:rFonts w:ascii="Times New Roman" w:hAnsi="Times New Roman" w:eastAsia="宋体" w:cs="Times New Roman"/>
                <w:szCs w:val="21"/>
              </w:rPr>
              <w:t>）投标人投标报价不得高于询价文件（公告）列明的项目预算、最高投标限价，否则其投标文件将被否决。</w:t>
            </w:r>
          </w:p>
          <w:p w14:paraId="1481418C">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2</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1BA5E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06658CC">
            <w:pPr>
              <w:pStyle w:val="31"/>
              <w:widowControl w:val="0"/>
              <w:spacing w:before="0" w:beforeAutospacing="0" w:after="0" w:afterAutospacing="0" w:line="360" w:lineRule="auto"/>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11</w:t>
            </w:r>
          </w:p>
        </w:tc>
        <w:tc>
          <w:tcPr>
            <w:tcW w:w="1072" w:type="pct"/>
            <w:vAlign w:val="center"/>
          </w:tcPr>
          <w:p w14:paraId="2E98F59A">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14:paraId="119AB9E8">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14:paraId="5A3D82FB">
            <w:pPr>
              <w:spacing w:line="360" w:lineRule="auto"/>
              <w:rPr>
                <w:rFonts w:ascii="Times New Roman" w:hAnsi="Times New Roman" w:eastAsia="宋体" w:cs="Times New Roman"/>
                <w:szCs w:val="21"/>
              </w:rPr>
            </w:pPr>
            <w:r>
              <w:rPr>
                <w:rFonts w:hint="eastAsia" w:ascii="Times New Roman" w:hAnsi="Times New Roman" w:eastAsia="宋体" w:cs="Times New Roman"/>
                <w:szCs w:val="21"/>
                <w:highlight w:val="none"/>
                <w:lang w:eastAsia="zh-CN"/>
              </w:rPr>
              <w:t>□</w:t>
            </w:r>
            <w:r>
              <w:rPr>
                <w:rFonts w:ascii="Times New Roman" w:hAnsi="Times New Roman" w:eastAsia="宋体" w:cs="Times New Roman"/>
                <w:szCs w:val="21"/>
                <w:highlight w:val="none"/>
              </w:rPr>
              <w:t xml:space="preserve">要求 </w:t>
            </w:r>
            <w:r>
              <w:rPr>
                <w:rFonts w:ascii="Times New Roman" w:hAnsi="Times New Roman" w:eastAsia="宋体" w:cs="Times New Roman"/>
                <w:szCs w:val="21"/>
              </w:rPr>
              <w:t xml:space="preserve"> </w:t>
            </w:r>
            <w:r>
              <w:rPr>
                <w:rFonts w:hint="eastAsia" w:ascii="Times New Roman" w:hAnsi="Times New Roman" w:eastAsia="宋体" w:cs="Times New Roman"/>
                <w:szCs w:val="21"/>
                <w:lang w:eastAsia="zh-CN"/>
              </w:rPr>
              <w:t>☑</w:t>
            </w:r>
            <w:r>
              <w:rPr>
                <w:rFonts w:ascii="Times New Roman" w:hAnsi="Times New Roman" w:eastAsia="宋体" w:cs="Times New Roman"/>
                <w:szCs w:val="21"/>
              </w:rPr>
              <w:t>不要求</w:t>
            </w:r>
          </w:p>
          <w:p w14:paraId="6BD2BE4B">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3EA77043">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4E10156C">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47B07ECA">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3C387DC5">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59E95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3560C22">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2</w:t>
            </w:r>
          </w:p>
        </w:tc>
        <w:tc>
          <w:tcPr>
            <w:tcW w:w="1072" w:type="pct"/>
            <w:vAlign w:val="center"/>
          </w:tcPr>
          <w:p w14:paraId="2BF75128">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14:paraId="55F74E83">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14:paraId="4A9903EF">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14:paraId="7B277EF0">
            <w:pPr>
              <w:pStyle w:val="31"/>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w:t>
            </w:r>
            <w:r>
              <w:rPr>
                <w:rFonts w:hint="eastAsia" w:ascii="Times New Roman" w:hAnsi="Times New Roman" w:cs="Times New Roman"/>
                <w:sz w:val="21"/>
                <w:szCs w:val="21"/>
                <w:lang w:eastAsia="zh-CN"/>
              </w:rPr>
              <w:t>合肥政文国际会展管理有限公司</w:t>
            </w:r>
            <w:r>
              <w:rPr>
                <w:rFonts w:ascii="Times New Roman" w:hAnsi="Times New Roman" w:cs="Times New Roman" w:eastAsiaTheme="minorEastAsia"/>
                <w:sz w:val="21"/>
                <w:szCs w:val="21"/>
              </w:rPr>
              <w:t>官网自行下载本项目附件。</w:t>
            </w:r>
          </w:p>
        </w:tc>
      </w:tr>
      <w:tr w14:paraId="25770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CE1DBC8">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3</w:t>
            </w:r>
          </w:p>
        </w:tc>
        <w:tc>
          <w:tcPr>
            <w:tcW w:w="1072" w:type="pct"/>
            <w:vAlign w:val="center"/>
          </w:tcPr>
          <w:p w14:paraId="694C8254">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14:paraId="5865C984">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7F4C01B6">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4A2A2DE0">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448E8CE7">
            <w:pPr>
              <w:pStyle w:val="4"/>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6B89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0E0CEF5">
            <w:pPr>
              <w:pStyle w:val="32"/>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14</w:t>
            </w:r>
          </w:p>
        </w:tc>
        <w:tc>
          <w:tcPr>
            <w:tcW w:w="1072" w:type="pct"/>
            <w:vAlign w:val="center"/>
          </w:tcPr>
          <w:p w14:paraId="341C45A8">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14:paraId="174E8151">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0BDBB157">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714C8C5A">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55FDA178">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2F8A40CF">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25307DDF">
            <w:pPr>
              <w:pStyle w:val="31"/>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22E51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D62F7D4">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5</w:t>
            </w:r>
          </w:p>
        </w:tc>
        <w:tc>
          <w:tcPr>
            <w:tcW w:w="1072" w:type="pct"/>
            <w:vAlign w:val="center"/>
          </w:tcPr>
          <w:p w14:paraId="44B4B0E1">
            <w:pPr>
              <w:pStyle w:val="31"/>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14:paraId="00003305">
            <w:pPr>
              <w:pStyle w:val="31"/>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14:paraId="78BD5A71">
            <w:pPr>
              <w:numPr>
                <w:ilvl w:val="0"/>
                <w:numId w:val="0"/>
              </w:numPr>
              <w:spacing w:line="360" w:lineRule="auto"/>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r w14:paraId="44D5E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ACBC3D6">
            <w:pPr>
              <w:pStyle w:val="32"/>
              <w:pBdr>
                <w:bottom w:val="none" w:color="auto" w:sz="0" w:space="0"/>
              </w:pBdr>
              <w:tabs>
                <w:tab w:val="clear" w:pos="4153"/>
                <w:tab w:val="clear" w:pos="8306"/>
              </w:tabs>
              <w:adjustRightInd/>
              <w:spacing w:line="240" w:lineRule="auto"/>
              <w:jc w:val="center"/>
              <w:textAlignment w:val="auto"/>
              <w:rPr>
                <w:rFonts w:hint="default" w:ascii="Times New Roman" w:hAnsi="Times New Roman" w:eastAsia="宋体" w:cs="Times New Roman"/>
                <w:bCs/>
                <w:kern w:val="2"/>
                <w:sz w:val="21"/>
                <w:szCs w:val="21"/>
                <w:lang w:val="en-US" w:eastAsia="zh-CN"/>
              </w:rPr>
            </w:pPr>
            <w:r>
              <w:rPr>
                <w:rFonts w:hint="eastAsia" w:ascii="Times New Roman" w:hAnsi="Times New Roman" w:eastAsia="宋体" w:cs="Times New Roman"/>
                <w:bCs/>
                <w:kern w:val="2"/>
                <w:sz w:val="21"/>
                <w:szCs w:val="21"/>
                <w:lang w:val="en-US" w:eastAsia="zh-CN"/>
              </w:rPr>
              <w:t>16</w:t>
            </w:r>
          </w:p>
        </w:tc>
        <w:tc>
          <w:tcPr>
            <w:tcW w:w="1072" w:type="pct"/>
            <w:vAlign w:val="center"/>
          </w:tcPr>
          <w:p w14:paraId="540146B9">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14:paraId="784C6FF4">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highlight w:val="yellow"/>
              </w:rPr>
              <w:t>通过评审小组的投标人为</w:t>
            </w:r>
            <w:r>
              <w:rPr>
                <w:rFonts w:hint="eastAsia" w:ascii="Times New Roman" w:hAnsi="Times New Roman" w:eastAsia="宋体" w:cs="Times New Roman"/>
                <w:szCs w:val="21"/>
                <w:highlight w:val="yellow"/>
                <w:lang w:val="en-US" w:eastAsia="zh-CN"/>
              </w:rPr>
              <w:t>2</w:t>
            </w:r>
            <w:r>
              <w:rPr>
                <w:rFonts w:ascii="Times New Roman" w:hAnsi="Times New Roman" w:eastAsia="宋体" w:cs="Times New Roman"/>
                <w:szCs w:val="21"/>
                <w:highlight w:val="yellow"/>
              </w:rPr>
              <w:t>家及以上的，</w:t>
            </w:r>
            <w:r>
              <w:rPr>
                <w:rFonts w:hint="eastAsia" w:ascii="Times New Roman" w:hAnsi="Times New Roman" w:eastAsia="宋体" w:cs="Times New Roman"/>
                <w:szCs w:val="21"/>
                <w:highlight w:val="yellow"/>
                <w:lang w:val="en-US" w:eastAsia="zh-CN"/>
              </w:rPr>
              <w:t>应</w:t>
            </w:r>
            <w:r>
              <w:rPr>
                <w:rFonts w:ascii="Times New Roman" w:hAnsi="Times New Roman" w:eastAsia="宋体" w:cs="Times New Roman"/>
                <w:szCs w:val="21"/>
                <w:highlight w:val="yellow"/>
              </w:rPr>
              <w:t>按</w:t>
            </w:r>
            <w:r>
              <w:rPr>
                <w:rFonts w:hint="eastAsia" w:ascii="Times New Roman" w:hAnsi="Times New Roman" w:eastAsia="宋体" w:cs="Times New Roman"/>
                <w:szCs w:val="21"/>
                <w:highlight w:val="yellow"/>
                <w:lang w:val="en-US" w:eastAsia="zh-CN"/>
              </w:rPr>
              <w:t>询价</w:t>
            </w:r>
            <w:r>
              <w:rPr>
                <w:rFonts w:ascii="Times New Roman" w:hAnsi="Times New Roman" w:eastAsia="宋体" w:cs="Times New Roman"/>
                <w:szCs w:val="21"/>
                <w:highlight w:val="yellow"/>
              </w:rPr>
              <w:t>文件约定进行评审并确定结果</w:t>
            </w:r>
            <w:r>
              <w:rPr>
                <w:rFonts w:hint="eastAsia" w:ascii="Times New Roman" w:hAnsi="Times New Roman" w:eastAsia="宋体" w:cs="Times New Roman"/>
                <w:szCs w:val="21"/>
                <w:highlight w:val="yellow"/>
                <w:lang w:eastAsia="zh-CN"/>
              </w:rPr>
              <w:t>，</w:t>
            </w:r>
            <w:r>
              <w:rPr>
                <w:rFonts w:hint="eastAsia" w:ascii="Times New Roman" w:hAnsi="Times New Roman" w:eastAsia="宋体" w:cs="Times New Roman"/>
                <w:szCs w:val="21"/>
                <w:highlight w:val="yellow"/>
                <w:lang w:val="en-US" w:eastAsia="zh-CN"/>
              </w:rPr>
              <w:t>如仅为1家则直接确定其为成交供应商</w:t>
            </w:r>
            <w:r>
              <w:rPr>
                <w:rFonts w:ascii="Times New Roman" w:hAnsi="Times New Roman" w:eastAsia="宋体" w:cs="Times New Roman"/>
                <w:szCs w:val="21"/>
                <w:highlight w:val="yellow"/>
              </w:rPr>
              <w:t>。</w:t>
            </w:r>
          </w:p>
        </w:tc>
      </w:tr>
    </w:tbl>
    <w:p w14:paraId="28466596">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2BB200D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38F2FB29">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服务项目</w:t>
      </w:r>
      <w:r>
        <w:rPr>
          <w:rFonts w:ascii="Times New Roman" w:hAnsi="Times New Roman" w:eastAsia="宋体" w:cs="Times New Roman"/>
          <w:szCs w:val="21"/>
        </w:rPr>
        <w:t>。</w:t>
      </w:r>
    </w:p>
    <w:p w14:paraId="57E3133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679A76E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6FFA148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网站澄清或修改询价文件，投标人应主动上网查询。招标人不承担投标人未及时关注相关信息引发的相关责任。</w:t>
      </w:r>
    </w:p>
    <w:p w14:paraId="6BC4E0B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748CD53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0BF5356B">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4EFB161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0BDF54DB">
      <w:pPr>
        <w:spacing w:line="360" w:lineRule="auto"/>
        <w:ind w:firstLine="420" w:firstLineChars="200"/>
        <w:rPr>
          <w:rFonts w:ascii="Times New Roman" w:hAnsi="Times New Roman" w:cs="Times New Roman" w:eastAsiaTheme="minorEastAsia"/>
          <w:szCs w:val="21"/>
        </w:rPr>
      </w:pPr>
      <w:bookmarkStart w:id="4"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4"/>
    <w:p w14:paraId="11854F5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77F2016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0C5F240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5374FA2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382DA43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52A5000E">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22A0AA7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3DF4AAB0">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3335BDD4">
      <w:pPr>
        <w:spacing w:line="360" w:lineRule="auto"/>
        <w:ind w:firstLine="420" w:firstLineChars="200"/>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w:t>
      </w:r>
      <w:r>
        <w:rPr>
          <w:rFonts w:hint="eastAsia" w:ascii="Times New Roman" w:hAnsi="Times New Roman" w:cs="Times New Roman"/>
          <w:szCs w:val="21"/>
          <w:lang w:val="en-US" w:eastAsia="zh-CN"/>
        </w:rPr>
        <w:t>内容，</w:t>
      </w:r>
      <w:r>
        <w:rPr>
          <w:rFonts w:ascii="Times New Roman" w:hAnsi="Times New Roman" w:cs="Times New Roman" w:eastAsiaTheme="minorEastAsia"/>
          <w:bCs/>
          <w:sz w:val="21"/>
        </w:rPr>
        <w:t>所有报价均应以人民币报价</w:t>
      </w:r>
      <w:r>
        <w:rPr>
          <w:rFonts w:hint="eastAsia" w:ascii="Times New Roman" w:hAnsi="Times New Roman" w:cs="Times New Roman"/>
          <w:bCs/>
          <w:sz w:val="21"/>
          <w:lang w:eastAsia="zh-CN"/>
        </w:rPr>
        <w:t>。</w:t>
      </w:r>
    </w:p>
    <w:p w14:paraId="74AE27B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53F890A9">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w:t>
      </w:r>
      <w:r>
        <w:rPr>
          <w:rFonts w:hint="eastAsia" w:ascii="Times New Roman" w:hAnsi="Times New Roman" w:cs="Times New Roman"/>
          <w:szCs w:val="21"/>
          <w:lang w:val="en-US" w:eastAsia="zh-CN"/>
        </w:rPr>
        <w:t>3</w:t>
      </w:r>
      <w:r>
        <w:rPr>
          <w:rFonts w:ascii="Times New Roman" w:hAnsi="Times New Roman" w:cs="Times New Roman" w:eastAsiaTheme="minorEastAsia"/>
          <w:szCs w:val="21"/>
        </w:rPr>
        <w:t>招标人不接受具有附加条件的报价。</w:t>
      </w:r>
    </w:p>
    <w:p w14:paraId="2EE65A3F">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474694D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751393F6">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375E43DC">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334CCE1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14:paraId="12F918B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w:t>
      </w:r>
      <w:r>
        <w:rPr>
          <w:rFonts w:hint="eastAsia" w:ascii="Times New Roman" w:hAnsi="Times New Roman" w:cs="Times New Roman"/>
          <w:szCs w:val="21"/>
          <w:lang w:eastAsia="zh-CN"/>
        </w:rPr>
        <w:t>正本1份、副本2份</w:t>
      </w:r>
      <w:r>
        <w:rPr>
          <w:rFonts w:ascii="Times New Roman" w:hAnsi="Times New Roman" w:cs="Times New Roman" w:eastAsiaTheme="minorEastAsia"/>
          <w:szCs w:val="21"/>
        </w:rPr>
        <w:t>。</w:t>
      </w:r>
    </w:p>
    <w:p w14:paraId="3FD1FDA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50C380D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252775C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7A01725C">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3F1BE21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5" w:name="_Hlk22476245"/>
      <w:r>
        <w:rPr>
          <w:rFonts w:ascii="Times New Roman" w:hAnsi="Times New Roman" w:cs="Times New Roman" w:eastAsiaTheme="minorEastAsia"/>
          <w:szCs w:val="21"/>
        </w:rPr>
        <w:t>投标文件提交截止时间</w:t>
      </w:r>
      <w:bookmarkEnd w:id="5"/>
      <w:r>
        <w:rPr>
          <w:rFonts w:ascii="Times New Roman" w:hAnsi="Times New Roman" w:cs="Times New Roman" w:eastAsiaTheme="minorEastAsia"/>
          <w:szCs w:val="21"/>
        </w:rPr>
        <w:t>前，将封装的投标文件送到指定开标地点。</w:t>
      </w:r>
    </w:p>
    <w:p w14:paraId="3D69364D">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0D320AB3">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4E132D64">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71C67002">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27F6A00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300B324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14:paraId="3932F8D5">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452789E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5E0D061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5CE00F3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1954A88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565752D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23C21F9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57C2A960">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116DA40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1B9E46B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3AA6C27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57894323">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40E2C7E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1B7352D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3867CF0B">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2B75ED2E">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1DD8076D">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3F066D27">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09BE45FE">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33AC53CA">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官网发布中标结果公告。</w:t>
      </w:r>
    </w:p>
    <w:p w14:paraId="55D142D7">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49A78BB7">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777FC7D3">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7759D4C9">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58AABE97">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494EFC2D">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7C203EC5">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r>
        <w:rPr>
          <w:rFonts w:ascii="Times New Roman" w:hAnsi="Times New Roman" w:cs="Times New Roman" w:eastAsiaTheme="minorEastAsia"/>
          <w:b/>
          <w:sz w:val="28"/>
        </w:rPr>
        <w:t xml:space="preserve"> </w:t>
      </w:r>
      <w:bookmarkEnd w:id="2"/>
      <w:r>
        <w:rPr>
          <w:rFonts w:ascii="Times New Roman" w:hAnsi="Times New Roman" w:cs="Times New Roman" w:eastAsiaTheme="minorEastAsia"/>
          <w:b/>
          <w:sz w:val="28"/>
        </w:rPr>
        <w:t>招标人要求</w:t>
      </w:r>
    </w:p>
    <w:p w14:paraId="2C17927D">
      <w:pPr>
        <w:numPr>
          <w:ilvl w:val="0"/>
          <w:numId w:val="3"/>
        </w:numPr>
        <w:spacing w:line="360" w:lineRule="auto"/>
        <w:ind w:firstLine="437"/>
        <w:outlineLvl w:val="2"/>
        <w:rPr>
          <w:rFonts w:hint="default" w:ascii="Times New Roman" w:hAnsi="Times New Roman" w:cs="Times New Roman" w:eastAsiaTheme="minorEastAsia"/>
          <w:b/>
          <w:sz w:val="24"/>
          <w:lang w:val="en-US" w:eastAsia="zh-CN"/>
        </w:rPr>
      </w:pPr>
      <w:r>
        <w:rPr>
          <w:rFonts w:hint="eastAsia" w:ascii="Times New Roman" w:hAnsi="Times New Roman" w:cs="Times New Roman" w:eastAsiaTheme="minorEastAsia"/>
          <w:b/>
          <w:sz w:val="24"/>
          <w:lang w:val="en-US" w:eastAsia="zh-CN"/>
        </w:rPr>
        <w:t>项目概况</w:t>
      </w:r>
    </w:p>
    <w:p w14:paraId="2D82526B">
      <w:pPr>
        <w:numPr>
          <w:ilvl w:val="0"/>
          <w:numId w:val="0"/>
        </w:numPr>
        <w:spacing w:line="360" w:lineRule="auto"/>
        <w:ind w:firstLine="420" w:firstLineChars="200"/>
        <w:rPr>
          <w:rFonts w:hint="eastAsia" w:ascii="Times New Roman" w:hAnsi="Times New Roman" w:eastAsiaTheme="minorEastAsia"/>
          <w:szCs w:val="21"/>
          <w:lang w:eastAsia="zh-CN"/>
        </w:rPr>
      </w:pPr>
      <w:r>
        <w:rPr>
          <w:rFonts w:hint="eastAsia" w:ascii="Times New Roman" w:hAnsi="Times New Roman"/>
          <w:szCs w:val="21"/>
        </w:rPr>
        <w:t>1</w:t>
      </w:r>
      <w:r>
        <w:rPr>
          <w:rFonts w:ascii="Times New Roman" w:hAnsi="Times New Roman"/>
          <w:szCs w:val="21"/>
        </w:rPr>
        <w:t>、项目位置</w:t>
      </w:r>
      <w:r>
        <w:rPr>
          <w:rFonts w:hint="eastAsia" w:ascii="Times New Roman" w:hAnsi="Times New Roman"/>
          <w:szCs w:val="21"/>
          <w:lang w:val="en-US" w:eastAsia="zh-CN"/>
        </w:rPr>
        <w:t>:</w:t>
      </w:r>
      <w:r>
        <w:rPr>
          <w:rFonts w:hint="eastAsia" w:ascii="Times New Roman" w:hAnsi="Times New Roman" w:cs="Times New Roman"/>
          <w:szCs w:val="21"/>
          <w:u w:val="single"/>
          <w:lang w:eastAsia="zh-CN"/>
        </w:rPr>
        <w:t>合肥滨湖会展中心</w:t>
      </w:r>
    </w:p>
    <w:p w14:paraId="0E6AE438">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2"/>
        <w:rPr>
          <w:rFonts w:hint="default"/>
          <w:u w:val="single"/>
          <w:lang w:val="en-US" w:eastAsia="zh-CN"/>
        </w:rPr>
      </w:pPr>
      <w:r>
        <w:rPr>
          <w:rFonts w:hint="eastAsia" w:ascii="Times New Roman" w:hAnsi="Times New Roman"/>
          <w:szCs w:val="21"/>
        </w:rPr>
        <w:t>2</w:t>
      </w:r>
      <w:r>
        <w:rPr>
          <w:rFonts w:ascii="Times New Roman" w:hAnsi="Times New Roman"/>
          <w:szCs w:val="21"/>
        </w:rPr>
        <w:t>、</w:t>
      </w:r>
      <w:r>
        <w:rPr>
          <w:rFonts w:hint="eastAsia"/>
        </w:rPr>
        <w:t>资产</w:t>
      </w:r>
      <w:r>
        <w:rPr>
          <w:rFonts w:hint="eastAsia"/>
          <w:lang w:eastAsia="zh-CN"/>
        </w:rPr>
        <w:t>明细：</w:t>
      </w:r>
      <w:r>
        <w:rPr>
          <w:rFonts w:hint="eastAsia"/>
          <w:u w:val="single"/>
          <w:lang w:eastAsia="zh-CN"/>
        </w:rPr>
        <w:t>江淮</w:t>
      </w:r>
      <w:r>
        <w:rPr>
          <w:rFonts w:hint="eastAsia"/>
          <w:u w:val="single"/>
          <w:lang w:val="en-US" w:eastAsia="zh-CN"/>
        </w:rPr>
        <w:t>JAC货车</w:t>
      </w:r>
    </w:p>
    <w:p w14:paraId="6041FE80">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hint="eastAsia" w:ascii="Times New Roman" w:hAnsi="Times New Roman" w:cs="Times New Roman"/>
          <w:b/>
          <w:bCs/>
          <w:sz w:val="24"/>
          <w:szCs w:val="18"/>
          <w:lang w:eastAsia="zh-CN"/>
        </w:rPr>
      </w:pPr>
      <w:r>
        <w:rPr>
          <w:rFonts w:ascii="Times New Roman" w:hAnsi="Times New Roman" w:cs="Times New Roman" w:eastAsiaTheme="minorEastAsia"/>
          <w:b/>
          <w:bCs/>
          <w:sz w:val="24"/>
          <w:szCs w:val="18"/>
        </w:rPr>
        <w:t>二、</w:t>
      </w:r>
      <w:r>
        <w:rPr>
          <w:rFonts w:hint="eastAsia" w:ascii="Times New Roman" w:hAnsi="Times New Roman" w:cs="Times New Roman"/>
          <w:b/>
          <w:bCs/>
          <w:sz w:val="24"/>
          <w:szCs w:val="18"/>
          <w:lang w:eastAsia="zh-CN"/>
        </w:rPr>
        <w:t>评估清单</w:t>
      </w:r>
    </w:p>
    <w:tbl>
      <w:tblPr>
        <w:tblStyle w:val="23"/>
        <w:tblW w:w="95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05"/>
        <w:gridCol w:w="5865"/>
      </w:tblGrid>
      <w:tr w14:paraId="2A559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7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92D8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存放位置</w:t>
            </w:r>
          </w:p>
        </w:tc>
        <w:tc>
          <w:tcPr>
            <w:tcW w:w="58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932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滨湖会展中心2号道口地下车库</w:t>
            </w:r>
          </w:p>
        </w:tc>
      </w:tr>
      <w:tr w14:paraId="681C2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3EC4AC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车辆相关信息</w:t>
            </w:r>
          </w:p>
        </w:tc>
        <w:tc>
          <w:tcPr>
            <w:tcW w:w="5865" w:type="dxa"/>
            <w:tcBorders>
              <w:top w:val="single" w:color="auto" w:sz="4" w:space="0"/>
              <w:left w:val="nil"/>
              <w:bottom w:val="single" w:color="000000" w:sz="4" w:space="0"/>
              <w:right w:val="single" w:color="000000" w:sz="4" w:space="0"/>
            </w:tcBorders>
            <w:shd w:val="clear" w:color="auto" w:fill="auto"/>
            <w:vAlign w:val="center"/>
          </w:tcPr>
          <w:p w14:paraId="1B4A3B8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出厂日期2015年9月7日，车辆类型轻型普通货车，车辆识别代号LJ11PBBC4F6024211</w:t>
            </w:r>
          </w:p>
        </w:tc>
      </w:tr>
      <w:tr w14:paraId="6A8A7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78CB5E58">
            <w:pPr>
              <w:keepNext w:val="0"/>
              <w:keepLines w:val="0"/>
              <w:widowControl/>
              <w:suppressLineNumbers w:val="0"/>
              <w:ind w:firstLine="1440" w:firstLineChars="600"/>
              <w:jc w:val="both"/>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原值</w:t>
            </w:r>
          </w:p>
        </w:tc>
        <w:tc>
          <w:tcPr>
            <w:tcW w:w="0" w:type="auto"/>
            <w:tcBorders>
              <w:top w:val="nil"/>
              <w:left w:val="nil"/>
              <w:bottom w:val="single" w:color="000000" w:sz="4" w:space="0"/>
              <w:right w:val="single" w:color="000000" w:sz="4" w:space="0"/>
            </w:tcBorders>
            <w:shd w:val="clear" w:color="auto" w:fill="auto"/>
            <w:noWrap/>
            <w:vAlign w:val="center"/>
          </w:tcPr>
          <w:p w14:paraId="69D89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97149.57</w:t>
            </w:r>
            <w:r>
              <w:rPr>
                <w:rFonts w:hint="eastAsia" w:ascii="宋体" w:hAnsi="宋体" w:eastAsia="宋体" w:cs="宋体"/>
                <w:i w:val="0"/>
                <w:iCs w:val="0"/>
                <w:color w:val="000000"/>
                <w:sz w:val="24"/>
                <w:szCs w:val="24"/>
                <w:u w:val="none"/>
              </w:rPr>
              <w:t>元</w:t>
            </w:r>
          </w:p>
        </w:tc>
      </w:tr>
      <w:tr w14:paraId="1386F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0" w:hRule="atLeast"/>
        </w:trPr>
        <w:tc>
          <w:tcPr>
            <w:tcW w:w="0" w:type="auto"/>
            <w:gridSpan w:val="2"/>
            <w:tcBorders>
              <w:top w:val="nil"/>
              <w:left w:val="single" w:color="000000" w:sz="4" w:space="0"/>
              <w:bottom w:val="single" w:color="000000" w:sz="4" w:space="0"/>
              <w:right w:val="single" w:color="000000" w:sz="4" w:space="0"/>
            </w:tcBorders>
            <w:shd w:val="clear" w:color="auto" w:fill="auto"/>
            <w:noWrap/>
            <w:vAlign w:val="center"/>
          </w:tcPr>
          <w:p w14:paraId="7C39754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drawing>
                <wp:inline distT="0" distB="0" distL="114300" distR="114300">
                  <wp:extent cx="2581910" cy="3393440"/>
                  <wp:effectExtent l="0" t="0" r="8890" b="16510"/>
                  <wp:docPr id="5" name="图片 5"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未命名"/>
                          <pic:cNvPicPr>
                            <a:picLocks noChangeAspect="1"/>
                          </pic:cNvPicPr>
                        </pic:nvPicPr>
                        <pic:blipFill>
                          <a:blip r:embed="rId8"/>
                          <a:stretch>
                            <a:fillRect/>
                          </a:stretch>
                        </pic:blipFill>
                        <pic:spPr>
                          <a:xfrm>
                            <a:off x="0" y="0"/>
                            <a:ext cx="2581910" cy="3393440"/>
                          </a:xfrm>
                          <a:prstGeom prst="rect">
                            <a:avLst/>
                          </a:prstGeom>
                        </pic:spPr>
                      </pic:pic>
                    </a:graphicData>
                  </a:graphic>
                </wp:inline>
              </w:drawing>
            </w:r>
          </w:p>
        </w:tc>
      </w:tr>
    </w:tbl>
    <w:p w14:paraId="535A5BEC">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9"/>
        <w:rPr>
          <w:rFonts w:hint="eastAsia" w:ascii="Times New Roman" w:hAnsi="Times New Roman" w:cs="Times New Roman"/>
          <w:b/>
          <w:bCs/>
          <w:sz w:val="24"/>
          <w:szCs w:val="18"/>
          <w:lang w:val="en-US" w:eastAsia="zh-CN"/>
        </w:rPr>
      </w:pPr>
    </w:p>
    <w:p w14:paraId="5CFE8C83">
      <w:pPr>
        <w:spacing w:line="500" w:lineRule="exact"/>
        <w:jc w:val="left"/>
        <w:outlineLvl w:val="1"/>
        <w:rPr>
          <w:rFonts w:hint="eastAsia" w:ascii="Times New Roman" w:hAnsi="Times New Roman" w:cs="Times New Roman" w:eastAsiaTheme="minorEastAsia"/>
          <w:b/>
          <w:kern w:val="0"/>
          <w:sz w:val="24"/>
          <w:lang w:eastAsia="zh-CN"/>
        </w:rPr>
      </w:pPr>
      <w:bookmarkStart w:id="6" w:name="_Toc501460780"/>
      <w:bookmarkStart w:id="7" w:name="_Toc21575"/>
      <w:bookmarkStart w:id="8" w:name="_Toc29570"/>
      <w:r>
        <w:rPr>
          <w:rFonts w:ascii="Times New Roman" w:hAnsi="Times New Roman" w:cs="Times New Roman" w:eastAsiaTheme="minorEastAsia"/>
          <w:b/>
          <w:kern w:val="0"/>
          <w:sz w:val="24"/>
        </w:rPr>
        <w:t>三、</w:t>
      </w:r>
      <w:bookmarkEnd w:id="6"/>
      <w:bookmarkEnd w:id="7"/>
      <w:bookmarkEnd w:id="8"/>
      <w:r>
        <w:rPr>
          <w:rFonts w:hint="eastAsia" w:ascii="Times New Roman" w:hAnsi="Times New Roman" w:cs="Times New Roman"/>
          <w:b/>
          <w:kern w:val="0"/>
          <w:sz w:val="24"/>
          <w:lang w:eastAsia="zh-CN"/>
        </w:rPr>
        <w:t>服务内容</w:t>
      </w:r>
    </w:p>
    <w:p w14:paraId="70B4D4C4">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2"/>
        <w:rPr>
          <w:rFonts w:asciiTheme="minorEastAsia" w:hAnsiTheme="minorEastAsia" w:cstheme="minorEastAsia"/>
          <w:spacing w:val="6"/>
          <w:szCs w:val="21"/>
        </w:rPr>
      </w:pPr>
      <w:bookmarkStart w:id="9" w:name="_Toc11782"/>
      <w:bookmarkStart w:id="10" w:name="_Toc501460781"/>
      <w:bookmarkStart w:id="11" w:name="_Toc12083"/>
      <w:r>
        <w:rPr>
          <w:rFonts w:hint="eastAsia" w:asciiTheme="minorEastAsia" w:hAnsiTheme="minorEastAsia" w:cstheme="minorEastAsia"/>
          <w:spacing w:val="6"/>
          <w:szCs w:val="21"/>
        </w:rPr>
        <w:t>1、投标人对</w:t>
      </w:r>
      <w:r>
        <w:rPr>
          <w:rFonts w:hint="eastAsia"/>
          <w:u w:val="single"/>
          <w:lang w:eastAsia="zh-CN"/>
        </w:rPr>
        <w:t>江淮</w:t>
      </w:r>
      <w:r>
        <w:rPr>
          <w:rFonts w:hint="eastAsia"/>
          <w:u w:val="single"/>
          <w:lang w:val="en-US" w:eastAsia="zh-CN"/>
        </w:rPr>
        <w:t>JAC货车</w:t>
      </w:r>
      <w:r>
        <w:rPr>
          <w:rFonts w:hint="eastAsia" w:asciiTheme="minorEastAsia" w:hAnsiTheme="minorEastAsia" w:cstheme="minorEastAsia"/>
          <w:spacing w:val="6"/>
          <w:szCs w:val="21"/>
        </w:rPr>
        <w:t>进行资产评估</w:t>
      </w:r>
      <w:r>
        <w:rPr>
          <w:rFonts w:hint="eastAsia" w:asciiTheme="minorEastAsia" w:hAnsiTheme="minorEastAsia" w:cstheme="minorEastAsia"/>
          <w:spacing w:val="6"/>
          <w:szCs w:val="21"/>
          <w:lang w:eastAsia="zh-CN"/>
        </w:rPr>
        <w:t>，</w:t>
      </w:r>
      <w:r>
        <w:rPr>
          <w:rFonts w:hint="eastAsia" w:asciiTheme="minorEastAsia" w:hAnsiTheme="minorEastAsia" w:cstheme="minorEastAsia"/>
          <w:spacing w:val="6"/>
          <w:szCs w:val="21"/>
        </w:rPr>
        <w:t>并对应出具资产评估报告。</w:t>
      </w:r>
    </w:p>
    <w:p w14:paraId="34DDF10E">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2、根据国家有关法规和行业规定，能够独立客观地进行鉴定评估。在签订委托合同，并</w:t>
      </w:r>
      <w:r>
        <w:rPr>
          <w:rFonts w:hint="eastAsia" w:asciiTheme="minorEastAsia" w:hAnsiTheme="minorEastAsia" w:cstheme="minorEastAsia"/>
          <w:spacing w:val="6"/>
          <w:szCs w:val="21"/>
          <w:lang w:val="en-US" w:eastAsia="zh-CN"/>
        </w:rPr>
        <w:t>向招标人</w:t>
      </w:r>
      <w:r>
        <w:rPr>
          <w:rFonts w:hint="eastAsia" w:asciiTheme="minorEastAsia" w:hAnsiTheme="minorEastAsia" w:cstheme="minorEastAsia"/>
          <w:spacing w:val="6"/>
          <w:szCs w:val="21"/>
        </w:rPr>
        <w:t>提供完整的评估资料后，在约定时间内将评估报告书初稿报</w:t>
      </w:r>
      <w:r>
        <w:rPr>
          <w:rFonts w:hint="eastAsia" w:asciiTheme="minorEastAsia" w:hAnsiTheme="minorEastAsia" w:cstheme="minorEastAsia"/>
          <w:spacing w:val="6"/>
          <w:szCs w:val="21"/>
          <w:lang w:val="en-US" w:eastAsia="zh-CN"/>
        </w:rPr>
        <w:t>招标</w:t>
      </w:r>
      <w:r>
        <w:rPr>
          <w:rFonts w:hint="eastAsia" w:asciiTheme="minorEastAsia" w:hAnsiTheme="minorEastAsia" w:cstheme="minorEastAsia"/>
          <w:spacing w:val="6"/>
          <w:szCs w:val="21"/>
        </w:rPr>
        <w:t>人审核并获取意见后72小时内出具评估报告。</w:t>
      </w:r>
    </w:p>
    <w:p w14:paraId="168725AB">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3、投标人应当对被评估对象进行全面清查，根据</w:t>
      </w:r>
      <w:r>
        <w:rPr>
          <w:rFonts w:hint="eastAsia" w:asciiTheme="minorEastAsia" w:hAnsiTheme="minorEastAsia" w:cstheme="minorEastAsia"/>
          <w:spacing w:val="6"/>
          <w:szCs w:val="21"/>
          <w:lang w:val="en-US" w:eastAsia="zh-CN"/>
        </w:rPr>
        <w:t>招标人</w:t>
      </w:r>
      <w:r>
        <w:rPr>
          <w:rFonts w:hint="eastAsia" w:asciiTheme="minorEastAsia" w:hAnsiTheme="minorEastAsia" w:cstheme="minorEastAsia"/>
          <w:spacing w:val="6"/>
          <w:szCs w:val="21"/>
        </w:rPr>
        <w:t>提供的资产清单，核实资产账面与实际是否相符，并据此作出鉴定。</w:t>
      </w:r>
    </w:p>
    <w:p w14:paraId="6D3EC7EB">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4、投标人应充分根据资产原值、净值、新旧程度、重置成本、获利能力等因素选用合适的资产评估方法；并优先在持续使用的假设前提下，进行评估。</w:t>
      </w:r>
    </w:p>
    <w:p w14:paraId="4B9F21F1">
      <w:pPr>
        <w:spacing w:line="500" w:lineRule="exact"/>
        <w:ind w:firstLine="444" w:firstLineChars="200"/>
        <w:jc w:val="left"/>
        <w:outlineLvl w:val="1"/>
        <w:rPr>
          <w:rFonts w:hint="eastAsia" w:asciiTheme="minorEastAsia" w:hAnsiTheme="minorEastAsia" w:cstheme="minorEastAsia"/>
          <w:spacing w:val="6"/>
          <w:szCs w:val="21"/>
        </w:rPr>
      </w:pPr>
      <w:r>
        <w:rPr>
          <w:rFonts w:hint="eastAsia" w:asciiTheme="minorEastAsia" w:hAnsiTheme="minorEastAsia" w:cstheme="minorEastAsia"/>
          <w:spacing w:val="6"/>
          <w:szCs w:val="21"/>
        </w:rPr>
        <w:t>5、投标人出具的资产评估报告应当完整、齐全内容、格式符合《企业国有资产评估报告指南》（中评协[2017]42号）的规定。</w:t>
      </w:r>
    </w:p>
    <w:p w14:paraId="19FDA5D5">
      <w:pPr>
        <w:spacing w:line="520" w:lineRule="exact"/>
        <w:outlineLvl w:val="1"/>
        <w:rPr>
          <w:rFonts w:asciiTheme="minorEastAsia" w:hAnsiTheme="minorEastAsia" w:cstheme="minorEastAsia"/>
          <w:b/>
          <w:szCs w:val="21"/>
        </w:rPr>
      </w:pPr>
      <w:r>
        <w:rPr>
          <w:rFonts w:ascii="Times New Roman" w:hAnsi="Times New Roman" w:cs="Times New Roman" w:eastAsiaTheme="minorEastAsia"/>
          <w:b/>
          <w:kern w:val="0"/>
          <w:sz w:val="24"/>
        </w:rPr>
        <w:t>四、</w:t>
      </w:r>
      <w:bookmarkEnd w:id="9"/>
      <w:bookmarkEnd w:id="10"/>
      <w:bookmarkEnd w:id="11"/>
      <w:r>
        <w:rPr>
          <w:rFonts w:hint="eastAsia" w:asciiTheme="minorEastAsia" w:hAnsiTheme="minorEastAsia" w:cstheme="minorEastAsia"/>
          <w:b/>
          <w:szCs w:val="21"/>
        </w:rPr>
        <w:t>服务期限要求：</w:t>
      </w:r>
    </w:p>
    <w:p w14:paraId="64998894">
      <w:pPr>
        <w:pStyle w:val="22"/>
        <w:numPr>
          <w:ilvl w:val="255"/>
          <w:numId w:val="0"/>
        </w:numPr>
        <w:spacing w:line="520" w:lineRule="exact"/>
        <w:ind w:firstLine="444" w:firstLineChars="200"/>
        <w:rPr>
          <w:rFonts w:ascii="宋体" w:hAnsi="宋体" w:eastAsia="宋体" w:cstheme="minorBidi"/>
          <w:kern w:val="0"/>
          <w:sz w:val="20"/>
        </w:rPr>
      </w:pPr>
      <w:r>
        <w:rPr>
          <w:rFonts w:hint="eastAsia" w:asciiTheme="minorEastAsia" w:hAnsiTheme="minorEastAsia" w:cstheme="minorEastAsia"/>
          <w:spacing w:val="6"/>
          <w:szCs w:val="21"/>
          <w:lang w:eastAsia="zh-CN"/>
        </w:rPr>
        <w:t>中标人</w:t>
      </w:r>
      <w:r>
        <w:rPr>
          <w:rFonts w:hint="eastAsia" w:asciiTheme="minorEastAsia" w:hAnsiTheme="minorEastAsia" w:cstheme="minorEastAsia"/>
          <w:spacing w:val="6"/>
          <w:szCs w:val="21"/>
        </w:rPr>
        <w:t>应自</w:t>
      </w:r>
      <w:r>
        <w:rPr>
          <w:rFonts w:hint="eastAsia" w:asciiTheme="minorEastAsia" w:hAnsiTheme="minorEastAsia" w:cstheme="minorEastAsia"/>
          <w:szCs w:val="21"/>
        </w:rPr>
        <w:t>自受托</w:t>
      </w:r>
      <w:r>
        <w:rPr>
          <w:rFonts w:hint="eastAsia" w:asciiTheme="minorEastAsia" w:hAnsiTheme="minorEastAsia" w:cstheme="minorEastAsia"/>
          <w:spacing w:val="6"/>
          <w:szCs w:val="21"/>
        </w:rPr>
        <w:t>之日起7个工作日内完成资产评估工作，</w:t>
      </w:r>
      <w:r>
        <w:rPr>
          <w:rFonts w:hint="eastAsia" w:asciiTheme="minorEastAsia" w:hAnsiTheme="minorEastAsia" w:cstheme="minorEastAsia"/>
          <w:spacing w:val="6"/>
          <w:szCs w:val="21"/>
          <w:lang w:eastAsia="zh-CN"/>
        </w:rPr>
        <w:t>并</w:t>
      </w:r>
      <w:r>
        <w:rPr>
          <w:rFonts w:hint="eastAsia" w:asciiTheme="minorEastAsia" w:hAnsiTheme="minorEastAsia" w:cstheme="minorEastAsia"/>
          <w:spacing w:val="6"/>
          <w:szCs w:val="21"/>
        </w:rPr>
        <w:t>出具符合</w:t>
      </w:r>
      <w:r>
        <w:rPr>
          <w:rFonts w:hint="eastAsia" w:asciiTheme="minorEastAsia" w:hAnsiTheme="minorEastAsia" w:cstheme="minorEastAsia"/>
          <w:spacing w:val="6"/>
          <w:szCs w:val="21"/>
          <w:lang w:eastAsia="zh-CN"/>
        </w:rPr>
        <w:t>招标</w:t>
      </w:r>
      <w:r>
        <w:rPr>
          <w:rFonts w:hint="eastAsia" w:asciiTheme="minorEastAsia" w:hAnsiTheme="minorEastAsia" w:cstheme="minorEastAsia"/>
          <w:spacing w:val="6"/>
          <w:szCs w:val="21"/>
        </w:rPr>
        <w:t>人要求的评估报告。</w:t>
      </w:r>
      <w:bookmarkStart w:id="12" w:name="_Toc5940"/>
      <w:bookmarkStart w:id="13" w:name="_Toc4751"/>
    </w:p>
    <w:p w14:paraId="55166ECC">
      <w:pPr>
        <w:spacing w:line="500" w:lineRule="exact"/>
        <w:jc w:val="left"/>
        <w:outlineLvl w:val="1"/>
        <w:rPr>
          <w:rFonts w:ascii="Times New Roman" w:hAnsi="Times New Roman" w:cs="Times New Roman" w:eastAsiaTheme="minorEastAsia"/>
          <w:b/>
          <w:kern w:val="0"/>
          <w:sz w:val="24"/>
        </w:rPr>
      </w:pPr>
      <w:r>
        <w:rPr>
          <w:rFonts w:hint="eastAsia" w:ascii="Times New Roman" w:hAnsi="Times New Roman" w:cs="Times New Roman"/>
          <w:b/>
          <w:kern w:val="0"/>
          <w:sz w:val="24"/>
          <w:lang w:eastAsia="zh-CN"/>
        </w:rPr>
        <w:t>五</w:t>
      </w:r>
      <w:r>
        <w:rPr>
          <w:rFonts w:ascii="Times New Roman" w:hAnsi="Times New Roman" w:cs="Times New Roman" w:eastAsiaTheme="minorEastAsia"/>
          <w:b/>
          <w:kern w:val="0"/>
          <w:sz w:val="24"/>
        </w:rPr>
        <w:t>、报价要求</w:t>
      </w:r>
      <w:bookmarkEnd w:id="12"/>
      <w:bookmarkEnd w:id="13"/>
    </w:p>
    <w:p w14:paraId="6BABE2F9">
      <w:pPr>
        <w:adjustRightInd w:val="0"/>
        <w:snapToGrid w:val="0"/>
        <w:spacing w:line="520" w:lineRule="exact"/>
        <w:ind w:firstLine="444" w:firstLineChars="200"/>
        <w:rPr>
          <w:rFonts w:hint="eastAsia" w:asciiTheme="minorEastAsia" w:hAnsiTheme="minorEastAsia" w:cstheme="minorEastAsia"/>
          <w:spacing w:val="6"/>
          <w:szCs w:val="21"/>
          <w:lang w:eastAsia="zh-CN"/>
        </w:rPr>
      </w:pPr>
      <w:bookmarkStart w:id="14" w:name="_Toc5032"/>
      <w:r>
        <w:rPr>
          <w:rFonts w:hint="eastAsia" w:asciiTheme="minorEastAsia" w:hAnsiTheme="minorEastAsia" w:cstheme="minorEastAsia"/>
          <w:spacing w:val="6"/>
          <w:szCs w:val="21"/>
        </w:rPr>
        <w:t>1、本项目采用总价报价，投标单位报投标总价不得高于项目概算金额，该总价包括但不限于投标单位的人工费、保险费、福利费、审计费、利润、税金及完成项目应有的全部费用。以投标总价作为评标依据</w:t>
      </w:r>
      <w:r>
        <w:rPr>
          <w:rFonts w:hint="eastAsia" w:asciiTheme="minorEastAsia" w:hAnsiTheme="minorEastAsia" w:cstheme="minorEastAsia"/>
          <w:spacing w:val="6"/>
          <w:szCs w:val="21"/>
          <w:lang w:eastAsia="zh-CN"/>
        </w:rPr>
        <w:t>。</w:t>
      </w:r>
    </w:p>
    <w:p w14:paraId="78B6F426">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2、投标人需提前自行对项目现场和周围环境进行勘察，勘查现场所发生的费用由投标人自行承担。</w:t>
      </w:r>
    </w:p>
    <w:p w14:paraId="705023B7">
      <w:pPr>
        <w:adjustRightInd w:val="0"/>
        <w:snapToGrid w:val="0"/>
        <w:spacing w:line="520" w:lineRule="exact"/>
        <w:ind w:firstLine="444" w:firstLineChars="200"/>
        <w:rPr>
          <w:rFonts w:asciiTheme="minorEastAsia" w:hAnsiTheme="minorEastAsia" w:cstheme="minorEastAsia"/>
          <w:b/>
          <w:szCs w:val="21"/>
        </w:rPr>
      </w:pPr>
      <w:r>
        <w:rPr>
          <w:rFonts w:hint="eastAsia" w:asciiTheme="minorEastAsia" w:hAnsiTheme="minorEastAsia" w:cstheme="minorEastAsia"/>
          <w:spacing w:val="6"/>
          <w:szCs w:val="21"/>
        </w:rPr>
        <w:t>3、投标总价包括本次评估全部内容及工期的成本、利润、税金、运输费、损耗等所有费用。</w:t>
      </w:r>
    </w:p>
    <w:bookmarkEnd w:id="14"/>
    <w:p w14:paraId="3752925A">
      <w:pPr>
        <w:spacing w:line="360" w:lineRule="auto"/>
        <w:outlineLvl w:val="1"/>
        <w:rPr>
          <w:rFonts w:asciiTheme="minorEastAsia" w:hAnsiTheme="minorEastAsia" w:cstheme="minorEastAsia"/>
          <w:b/>
          <w:szCs w:val="21"/>
        </w:rPr>
      </w:pPr>
      <w:r>
        <w:rPr>
          <w:rFonts w:hint="eastAsia" w:asciiTheme="minorEastAsia" w:hAnsiTheme="minorEastAsia" w:cstheme="minorEastAsia"/>
          <w:b/>
          <w:szCs w:val="21"/>
        </w:rPr>
        <w:t>六、付款方式</w:t>
      </w:r>
    </w:p>
    <w:p w14:paraId="15A813CE">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lang w:val="en-US" w:eastAsia="zh-CN"/>
        </w:rPr>
        <w:t>中标人</w:t>
      </w:r>
      <w:r>
        <w:rPr>
          <w:rFonts w:hint="eastAsia" w:asciiTheme="minorEastAsia" w:hAnsiTheme="minorEastAsia" w:cstheme="minorEastAsia"/>
          <w:spacing w:val="6"/>
          <w:szCs w:val="21"/>
        </w:rPr>
        <w:t>完成全部评估并出具符合</w:t>
      </w:r>
      <w:r>
        <w:rPr>
          <w:rFonts w:hint="eastAsia" w:asciiTheme="minorEastAsia" w:hAnsiTheme="minorEastAsia" w:cstheme="minorEastAsia"/>
          <w:spacing w:val="6"/>
          <w:szCs w:val="21"/>
          <w:lang w:val="en-US" w:eastAsia="zh-CN"/>
        </w:rPr>
        <w:t>招标人</w:t>
      </w:r>
      <w:r>
        <w:rPr>
          <w:rFonts w:hint="eastAsia" w:asciiTheme="minorEastAsia" w:hAnsiTheme="minorEastAsia" w:cstheme="minorEastAsia"/>
          <w:spacing w:val="6"/>
          <w:szCs w:val="21"/>
        </w:rPr>
        <w:t>要求的评估报告</w:t>
      </w:r>
      <w:r>
        <w:rPr>
          <w:rFonts w:hint="eastAsia" w:asciiTheme="minorEastAsia" w:hAnsiTheme="minorEastAsia" w:cstheme="minorEastAsia"/>
          <w:spacing w:val="6"/>
          <w:szCs w:val="21"/>
          <w:lang w:eastAsia="zh-CN"/>
        </w:rPr>
        <w:t>，</w:t>
      </w:r>
      <w:r>
        <w:rPr>
          <w:rFonts w:hint="eastAsia" w:asciiTheme="minorEastAsia" w:hAnsiTheme="minorEastAsia" w:cstheme="minorEastAsia"/>
          <w:spacing w:val="6"/>
          <w:szCs w:val="21"/>
          <w:lang w:val="en-US" w:eastAsia="zh-CN"/>
        </w:rPr>
        <w:t>经招标人确认无误且通过有关部门审核</w:t>
      </w:r>
      <w:r>
        <w:rPr>
          <w:rFonts w:hint="eastAsia" w:asciiTheme="minorEastAsia" w:hAnsiTheme="minorEastAsia" w:cstheme="minorEastAsia"/>
          <w:spacing w:val="6"/>
          <w:szCs w:val="21"/>
        </w:rPr>
        <w:t>后30日内一次性支付评估费用。</w:t>
      </w:r>
    </w:p>
    <w:p w14:paraId="0A650308">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注：（1）在招标人付款前，中标人需向招标人交付等额的增值税专用发票，否则招标人有权拒绝或者延迟付款，且不承担违约责任。</w:t>
      </w:r>
    </w:p>
    <w:p w14:paraId="146E2209">
      <w:pPr>
        <w:adjustRightInd w:val="0"/>
        <w:snapToGrid w:val="0"/>
        <w:spacing w:line="520" w:lineRule="exact"/>
        <w:ind w:firstLine="444" w:firstLineChars="200"/>
        <w:rPr>
          <w:rFonts w:ascii="Times New Roman" w:hAnsi="Times New Roman" w:cs="Times New Roman" w:eastAsiaTheme="minorEastAsia"/>
          <w:b/>
          <w:sz w:val="28"/>
        </w:rPr>
      </w:pPr>
      <w:r>
        <w:rPr>
          <w:rFonts w:hint="eastAsia" w:asciiTheme="minorEastAsia" w:hAnsiTheme="minorEastAsia" w:cstheme="minorEastAsia"/>
          <w:spacing w:val="6"/>
          <w:szCs w:val="21"/>
        </w:rPr>
        <w:t>（2）投标人提交的投标文件中如有关于付款条件的表述与询价文件规定不符，投标无效。</w:t>
      </w:r>
    </w:p>
    <w:p w14:paraId="06CEC964">
      <w:pPr>
        <w:rPr>
          <w:rFonts w:ascii="Times New Roman" w:hAnsi="Times New Roman" w:cs="Times New Roman" w:eastAsiaTheme="minorEastAsia"/>
          <w:b/>
          <w:sz w:val="28"/>
        </w:rPr>
      </w:pPr>
    </w:p>
    <w:p w14:paraId="5569A607">
      <w:pPr>
        <w:rPr>
          <w:rFonts w:ascii="Times New Roman" w:hAnsi="Times New Roman" w:cs="Times New Roman" w:eastAsiaTheme="minorEastAsia"/>
          <w:b/>
          <w:sz w:val="28"/>
        </w:rPr>
      </w:pPr>
    </w:p>
    <w:p w14:paraId="229E4A90">
      <w:pPr>
        <w:spacing w:line="360" w:lineRule="auto"/>
        <w:jc w:val="center"/>
        <w:outlineLvl w:val="1"/>
        <w:rPr>
          <w:rFonts w:ascii="Times New Roman" w:hAnsi="Times New Roman" w:cs="Times New Roman" w:eastAsiaTheme="minorEastAsia"/>
          <w:b/>
          <w:sz w:val="28"/>
        </w:rPr>
      </w:pPr>
      <w:bookmarkStart w:id="15" w:name="_Toc17615"/>
      <w:r>
        <w:rPr>
          <w:rFonts w:ascii="Times New Roman" w:hAnsi="Times New Roman" w:cs="Times New Roman" w:eastAsiaTheme="minorEastAsia"/>
          <w:b/>
          <w:sz w:val="28"/>
        </w:rPr>
        <w:t>第四章  评审方法和标准</w:t>
      </w:r>
      <w:bookmarkEnd w:id="15"/>
    </w:p>
    <w:p w14:paraId="0DBFB056">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1C71DB2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6A6C91C8">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4FA79AE1">
      <w:pPr>
        <w:spacing w:line="360" w:lineRule="auto"/>
        <w:ind w:firstLine="420" w:firstLineChars="200"/>
        <w:rPr>
          <w:rFonts w:ascii="Times New Roman" w:hAnsi="Times New Roman" w:cs="Times New Roman" w:eastAsiaTheme="minorEastAsia"/>
          <w:szCs w:val="16"/>
        </w:rPr>
      </w:pPr>
      <w:bookmarkStart w:id="16"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6591E75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52266BE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5EB3A70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4F98105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0353317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3B74ECD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24CDBCC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70AA2F0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62B9721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21BFCB8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10303F8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53D93D4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3"/>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919"/>
        <w:gridCol w:w="5506"/>
      </w:tblGrid>
      <w:tr w14:paraId="6FBD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5" w:type="pct"/>
            <w:tcBorders>
              <w:bottom w:val="single" w:color="auto" w:sz="4" w:space="0"/>
            </w:tcBorders>
            <w:vAlign w:val="center"/>
          </w:tcPr>
          <w:p w14:paraId="2F16F3C7">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7"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14:paraId="67B2E90A">
            <w:pPr>
              <w:pStyle w:val="32"/>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4" w:type="pct"/>
            <w:tcBorders>
              <w:bottom w:val="single" w:color="auto" w:sz="4" w:space="0"/>
            </w:tcBorders>
            <w:vAlign w:val="center"/>
          </w:tcPr>
          <w:p w14:paraId="5FA858B2">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2A60B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5" w:type="pct"/>
            <w:tcBorders>
              <w:bottom w:val="single" w:color="auto" w:sz="4" w:space="0"/>
            </w:tcBorders>
            <w:vAlign w:val="center"/>
          </w:tcPr>
          <w:p w14:paraId="29B6EF33">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14:paraId="6B5B8E5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4" w:type="pct"/>
            <w:tcBorders>
              <w:bottom w:val="single" w:color="auto" w:sz="4" w:space="0"/>
            </w:tcBorders>
            <w:vAlign w:val="center"/>
          </w:tcPr>
          <w:p w14:paraId="1EF05348">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14:paraId="585F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5" w:type="pct"/>
            <w:vAlign w:val="center"/>
          </w:tcPr>
          <w:p w14:paraId="1C60B623">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w:t>
            </w:r>
          </w:p>
        </w:tc>
        <w:tc>
          <w:tcPr>
            <w:tcW w:w="1159" w:type="pct"/>
            <w:shd w:val="clear" w:color="auto" w:fill="auto"/>
            <w:vAlign w:val="center"/>
          </w:tcPr>
          <w:p w14:paraId="43589344">
            <w:pPr>
              <w:adjustRightInd w:val="0"/>
              <w:snapToGrid w:val="0"/>
              <w:ind w:right="-10" w:rightChars="0"/>
              <w:jc w:val="center"/>
              <w:rPr>
                <w:rFonts w:cs="Times New Roman" w:asciiTheme="minorHAnsi" w:hAnsiTheme="minorHAnsi" w:eastAsiaTheme="minorEastAsia"/>
                <w:kern w:val="2"/>
                <w:sz w:val="21"/>
                <w:szCs w:val="21"/>
                <w:lang w:val="en-US" w:eastAsia="zh-CN" w:bidi="ar-SA"/>
              </w:rPr>
            </w:pPr>
            <w:r>
              <w:rPr>
                <w:rFonts w:hint="eastAsia" w:cs="Times New Roman"/>
                <w:kern w:val="2"/>
                <w:sz w:val="21"/>
                <w:szCs w:val="21"/>
              </w:rPr>
              <w:t>授权书</w:t>
            </w:r>
          </w:p>
        </w:tc>
        <w:tc>
          <w:tcPr>
            <w:tcW w:w="3324" w:type="pct"/>
            <w:shd w:val="clear" w:color="auto" w:fill="auto"/>
            <w:vAlign w:val="center"/>
          </w:tcPr>
          <w:p w14:paraId="09FC63C8">
            <w:pPr>
              <w:adjustRightInd w:val="0"/>
              <w:snapToGrid w:val="0"/>
              <w:spacing w:line="240" w:lineRule="auto"/>
              <w:ind w:right="-10" w:rightChars="0"/>
              <w:jc w:val="center"/>
              <w:rPr>
                <w:rFonts w:ascii="Calibri" w:hAnsi="Calibri" w:cs="Times New Roman" w:eastAsiaTheme="minorEastAsia"/>
                <w:kern w:val="2"/>
                <w:sz w:val="21"/>
                <w:szCs w:val="21"/>
                <w:lang w:val="en-US" w:eastAsia="zh-CN" w:bidi="ar-SA"/>
              </w:rPr>
            </w:pPr>
            <w:r>
              <w:rPr>
                <w:rFonts w:hint="eastAsia" w:cs="Times New Roman"/>
                <w:kern w:val="2"/>
                <w:sz w:val="21"/>
                <w:szCs w:val="21"/>
              </w:rPr>
              <w:t>符合</w:t>
            </w:r>
            <w:r>
              <w:rPr>
                <w:rFonts w:hint="eastAsia" w:cs="Times New Roman"/>
                <w:kern w:val="2"/>
                <w:sz w:val="21"/>
                <w:szCs w:val="21"/>
                <w:lang w:val="en-US" w:eastAsia="zh-CN"/>
              </w:rPr>
              <w:t>询</w:t>
            </w:r>
            <w:r>
              <w:rPr>
                <w:rFonts w:hint="eastAsia" w:ascii="Times New Roman" w:hAnsi="Times New Roman" w:cs="Times New Roman" w:eastAsiaTheme="minorEastAsia"/>
                <w:sz w:val="21"/>
                <w:szCs w:val="21"/>
              </w:rPr>
              <w:t>价</w:t>
            </w:r>
            <w:r>
              <w:rPr>
                <w:rFonts w:hint="eastAsia" w:cs="Times New Roman"/>
                <w:kern w:val="2"/>
                <w:sz w:val="21"/>
                <w:szCs w:val="21"/>
              </w:rPr>
              <w:t>文件要求。</w:t>
            </w:r>
          </w:p>
        </w:tc>
      </w:tr>
      <w:tr w14:paraId="602F3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5" w:type="pct"/>
            <w:vAlign w:val="center"/>
          </w:tcPr>
          <w:p w14:paraId="442263F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59" w:type="pct"/>
            <w:vAlign w:val="center"/>
          </w:tcPr>
          <w:p w14:paraId="2A36D51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4" w:type="pct"/>
            <w:vAlign w:val="center"/>
          </w:tcPr>
          <w:p w14:paraId="3BCA80C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14:paraId="1BB82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5" w:type="pct"/>
            <w:vAlign w:val="center"/>
          </w:tcPr>
          <w:p w14:paraId="22EF9D0B">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59" w:type="pct"/>
            <w:vAlign w:val="center"/>
          </w:tcPr>
          <w:p w14:paraId="0636636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4" w:type="pct"/>
            <w:vAlign w:val="center"/>
          </w:tcPr>
          <w:p w14:paraId="0EF66D21">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14:paraId="0638A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5" w:type="pct"/>
            <w:vAlign w:val="center"/>
          </w:tcPr>
          <w:p w14:paraId="5AACA31A">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159" w:type="pct"/>
            <w:vAlign w:val="center"/>
          </w:tcPr>
          <w:p w14:paraId="3B0E7AD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4" w:type="pct"/>
            <w:vAlign w:val="center"/>
          </w:tcPr>
          <w:p w14:paraId="34EF5B1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14:paraId="459BD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5" w:type="pct"/>
            <w:vAlign w:val="center"/>
          </w:tcPr>
          <w:p w14:paraId="5A05257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6</w:t>
            </w:r>
          </w:p>
        </w:tc>
        <w:tc>
          <w:tcPr>
            <w:tcW w:w="1159" w:type="pct"/>
            <w:vAlign w:val="center"/>
          </w:tcPr>
          <w:p w14:paraId="19711954">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4" w:type="pct"/>
            <w:vAlign w:val="center"/>
          </w:tcPr>
          <w:p w14:paraId="24E0A34B">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14:paraId="706D3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7E9DA91E">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5CB3459A">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6"/>
      <w:bookmarkEnd w:id="17"/>
    </w:tbl>
    <w:p w14:paraId="2B454DC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7EDB90B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04CAAAA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14:paraId="4757C9F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38EEBCF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6E107D9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4A5E027E">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52CBEF59">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bookmarkEnd w:id="3"/>
    <w:p w14:paraId="3A641AD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center"/>
        <w:textAlignment w:val="auto"/>
        <w:outlineLvl w:val="0"/>
        <w:rPr>
          <w:rFonts w:ascii="Times New Roman" w:hAnsi="Times New Roman" w:cs="Times New Roman" w:eastAsiaTheme="minorEastAsia"/>
          <w:b/>
          <w:sz w:val="28"/>
        </w:rPr>
      </w:pPr>
      <w:bookmarkStart w:id="18" w:name="_Toc28197"/>
      <w:r>
        <w:rPr>
          <w:rFonts w:ascii="Times New Roman" w:hAnsi="Times New Roman" w:cs="Times New Roman" w:eastAsiaTheme="minorEastAsia"/>
          <w:b/>
          <w:sz w:val="28"/>
        </w:rPr>
        <w:t xml:space="preserve"> 合同</w:t>
      </w:r>
      <w:bookmarkEnd w:id="18"/>
    </w:p>
    <w:p w14:paraId="33E969EA">
      <w:pPr>
        <w:pStyle w:val="57"/>
        <w:spacing w:line="520" w:lineRule="atLeast"/>
        <w:ind w:firstLine="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委托方（甲方）：合肥政文国际会展管理有限公司</w:t>
      </w:r>
    </w:p>
    <w:p w14:paraId="2BC911DB">
      <w:pPr>
        <w:pStyle w:val="57"/>
        <w:spacing w:line="520" w:lineRule="atLeast"/>
        <w:ind w:firstLine="0"/>
        <w:jc w:val="both"/>
        <w:rPr>
          <w:rFonts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受托方（乙方）：</w:t>
      </w:r>
      <w:r>
        <w:rPr>
          <w:rFonts w:hint="eastAsia" w:asciiTheme="minorEastAsia" w:hAnsiTheme="minorEastAsia" w:eastAsiaTheme="minorEastAsia" w:cstheme="minorEastAsia"/>
          <w:sz w:val="21"/>
          <w:szCs w:val="21"/>
          <w:lang w:val="en-US" w:eastAsia="zh-CN"/>
        </w:rPr>
        <w:t xml:space="preserve">    </w:t>
      </w:r>
    </w:p>
    <w:p w14:paraId="4D1C8A1A">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甲乙双方根据《中华人民共和国民法典》及《资产评估执业准则——资产评估委托合同》的规定，为明确双方的权利和义务，经双方协商同意签订本合同。</w:t>
      </w:r>
    </w:p>
    <w:p w14:paraId="5ADB0FA1">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一、评估目的：</w:t>
      </w:r>
      <w:r>
        <w:rPr>
          <w:rFonts w:hint="eastAsia"/>
          <w:bCs/>
          <w:color w:val="000000"/>
          <w:u w:val="single"/>
          <w:lang w:val="en-US" w:eastAsia="zh-CN"/>
        </w:rPr>
        <w:t>合肥滨湖会展中心闲置车辆评估项目</w:t>
      </w:r>
      <w:r>
        <w:rPr>
          <w:rFonts w:hint="eastAsia" w:asciiTheme="minorEastAsia" w:hAnsiTheme="minorEastAsia" w:cstheme="minorEastAsia"/>
          <w:szCs w:val="21"/>
        </w:rPr>
        <w:t>资产评估，对该经济行为所涉及的资产于评估基准日的市场价值进行评估，本次评估为上述经济行为提供价值参考依据。</w:t>
      </w:r>
    </w:p>
    <w:p w14:paraId="240A9D24">
      <w:pPr>
        <w:snapToGrid w:val="0"/>
        <w:spacing w:line="520" w:lineRule="atLeast"/>
        <w:ind w:firstLine="422" w:firstLineChars="200"/>
        <w:rPr>
          <w:rFonts w:hint="eastAsia" w:asciiTheme="minorEastAsia" w:hAnsiTheme="minorEastAsia" w:cstheme="minorEastAsia"/>
          <w:szCs w:val="21"/>
        </w:rPr>
      </w:pPr>
      <w:r>
        <w:rPr>
          <w:rFonts w:hint="eastAsia" w:asciiTheme="minorEastAsia" w:hAnsiTheme="minorEastAsia" w:cstheme="minorEastAsia"/>
          <w:b/>
          <w:szCs w:val="21"/>
        </w:rPr>
        <w:t>二、评估对象和评估范围：</w:t>
      </w:r>
      <w:r>
        <w:rPr>
          <w:rFonts w:hint="eastAsia" w:asciiTheme="minorEastAsia" w:hAnsiTheme="minorEastAsia" w:cstheme="minorEastAsia"/>
          <w:szCs w:val="21"/>
        </w:rPr>
        <w:t>评估对象为</w:t>
      </w:r>
      <w:r>
        <w:rPr>
          <w:rFonts w:hint="eastAsia"/>
          <w:bCs/>
          <w:color w:val="000000"/>
          <w:u w:val="single"/>
          <w:lang w:val="en-US" w:eastAsia="zh-CN"/>
        </w:rPr>
        <w:t>合肥滨湖会展中心闲置车辆</w:t>
      </w:r>
      <w:r>
        <w:rPr>
          <w:rFonts w:hint="eastAsia" w:asciiTheme="minorEastAsia" w:hAnsiTheme="minorEastAsia" w:cstheme="minorEastAsia"/>
          <w:szCs w:val="21"/>
        </w:rPr>
        <w:t>资产的市场价值；评估范围为</w:t>
      </w:r>
      <w:r>
        <w:rPr>
          <w:rFonts w:hint="eastAsia"/>
          <w:bCs/>
          <w:color w:val="000000"/>
          <w:u w:val="single"/>
          <w:lang w:val="en-US" w:eastAsia="zh-CN"/>
        </w:rPr>
        <w:t>合肥滨湖会展中心闲置车辆</w:t>
      </w:r>
      <w:r>
        <w:rPr>
          <w:rFonts w:hint="eastAsia" w:ascii="宋体" w:hAnsi="宋体" w:eastAsia="宋体" w:cs="宋体"/>
          <w:sz w:val="21"/>
          <w:szCs w:val="21"/>
          <w:u w:val="single"/>
          <w:lang w:val="en-US" w:eastAsia="zh-CN"/>
        </w:rPr>
        <w:t>的残余价值</w:t>
      </w:r>
      <w:r>
        <w:rPr>
          <w:rFonts w:hint="eastAsia" w:asciiTheme="minorEastAsia" w:hAnsiTheme="minorEastAsia" w:cstheme="minorEastAsia"/>
          <w:szCs w:val="21"/>
        </w:rPr>
        <w:t>。</w:t>
      </w:r>
    </w:p>
    <w:p w14:paraId="222CF70A">
      <w:pPr>
        <w:snapToGrid w:val="0"/>
        <w:spacing w:line="520" w:lineRule="atLeast"/>
        <w:ind w:firstLine="422" w:firstLineChars="200"/>
        <w:rPr>
          <w:rFonts w:asciiTheme="minorEastAsia" w:hAnsiTheme="minorEastAsia" w:cstheme="minorEastAsia"/>
          <w:szCs w:val="21"/>
        </w:rPr>
      </w:pPr>
      <w:r>
        <w:rPr>
          <w:rFonts w:hint="eastAsia" w:asciiTheme="minorEastAsia" w:hAnsiTheme="minorEastAsia" w:cstheme="minorEastAsia"/>
          <w:b/>
          <w:szCs w:val="21"/>
        </w:rPr>
        <w:t>三、评估基准日：</w:t>
      </w:r>
      <w:r>
        <w:rPr>
          <w:rFonts w:hint="eastAsia" w:asciiTheme="minorEastAsia" w:hAnsiTheme="minorEastAsia" w:cstheme="minorEastAsia"/>
          <w:szCs w:val="21"/>
        </w:rPr>
        <w:t xml:space="preserve"> 202</w:t>
      </w:r>
      <w:r>
        <w:rPr>
          <w:rFonts w:hint="eastAsia" w:asciiTheme="minorEastAsia" w:hAnsiTheme="minorEastAsia" w:cstheme="minorEastAsia"/>
          <w:szCs w:val="21"/>
          <w:lang w:val="en-US" w:eastAsia="zh-CN"/>
        </w:rPr>
        <w:t>5</w:t>
      </w:r>
      <w:r>
        <w:rPr>
          <w:rFonts w:hint="eastAsia" w:asciiTheme="minorEastAsia" w:hAnsiTheme="minorEastAsia" w:cstheme="minorEastAsia"/>
          <w:szCs w:val="21"/>
        </w:rPr>
        <w:t>年 月   日</w:t>
      </w:r>
    </w:p>
    <w:p w14:paraId="5DD776E6">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四、资产评估报告适用范围：</w:t>
      </w:r>
    </w:p>
    <w:p w14:paraId="1F3F804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1、资产评估报告仅供甲方和法律、行政法规规定的使用人使用，甲方可以授权其他第三方单位使用本资产评估报告，除此之外，其他任何机构和个人不能成为资产评估报告使用人。</w:t>
      </w:r>
    </w:p>
    <w:p w14:paraId="44746DC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甲方及其他资产评估报告使用人应按照法律、行政法规的规定和资产评估报告载明的使用目的及用途使用资产评估报告。甲方或其他资产评估报告使用人违反前述约定使用资产评估报告的，乙方及其专业人员不承担责任。</w:t>
      </w:r>
    </w:p>
    <w:p w14:paraId="2ABCA2AD">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3、甲方及其他资产评估报告使用人应当在资产评估报告载明的评估结论使用有效期内使用资产评估报告。</w:t>
      </w:r>
    </w:p>
    <w:p w14:paraId="2B998D9F">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4、未经甲方书面许可，乙方及其专业人员不得将资产评估报告的内容向第三方提供或公开，法律、行政法规另有规定的除外。</w:t>
      </w:r>
    </w:p>
    <w:p w14:paraId="088939EA">
      <w:pPr>
        <w:snapToGrid w:val="0"/>
        <w:spacing w:line="520" w:lineRule="atLeast"/>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5、未征得乙方同意，甲方及其他资产评估报告使用人不得将资产评估报告的内容摘抄、引用或者披露于公开媒体，法律、行政法规规定以及相关当事人另有约定的除外。</w:t>
      </w:r>
    </w:p>
    <w:p w14:paraId="5739D83E">
      <w:pPr>
        <w:pStyle w:val="22"/>
        <w:rPr>
          <w:rFonts w:hint="eastAsia" w:asciiTheme="minorEastAsia" w:hAnsiTheme="minorEastAsia" w:cstheme="minorEastAsia"/>
          <w:szCs w:val="21"/>
        </w:rPr>
      </w:pPr>
    </w:p>
    <w:p w14:paraId="03B4BBA6">
      <w:pPr>
        <w:pStyle w:val="22"/>
        <w:rPr>
          <w:rFonts w:hint="eastAsia" w:asciiTheme="minorEastAsia" w:hAnsiTheme="minorEastAsia" w:cstheme="minorEastAsia"/>
          <w:szCs w:val="21"/>
        </w:rPr>
      </w:pPr>
    </w:p>
    <w:p w14:paraId="62AD0CB8">
      <w:pPr>
        <w:pStyle w:val="22"/>
        <w:rPr>
          <w:rFonts w:hint="eastAsia" w:asciiTheme="minorEastAsia" w:hAnsiTheme="minorEastAsia" w:cstheme="minorEastAsia"/>
          <w:szCs w:val="21"/>
        </w:rPr>
      </w:pPr>
    </w:p>
    <w:p w14:paraId="20F0D8D9">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五、资产评估报告提交期限和方式：</w:t>
      </w:r>
    </w:p>
    <w:p w14:paraId="16D7DEA0">
      <w:pPr>
        <w:widowControl/>
        <w:snapToGrid w:val="0"/>
        <w:spacing w:line="520" w:lineRule="atLeas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1、提交期限：自甲方和其他相关当事人完全、如实地提供乙方评估所需所有资料后，在约定时间内将评估报告书初稿报甲方审核，在获取甲方意见后72小时内出具正式评估报告；但自受托之日起，正式评估报告出具时间不得超过7个工作日。</w:t>
      </w:r>
    </w:p>
    <w:p w14:paraId="2F79E5EC">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2、提交方式：资产评估报告的电子版及纸质版一式  份，邮寄或直接送达给甲方。</w:t>
      </w:r>
    </w:p>
    <w:p w14:paraId="40197DB5">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Theme="minorEastAsia" w:hAnsiTheme="minorEastAsia" w:cstheme="minorEastAsia"/>
          <w:b/>
          <w:bCs/>
          <w:szCs w:val="21"/>
        </w:rPr>
        <w:t>乙方应当对被评估对象进行全面清查，根据甲方提供的资产清单，核实资产账面与</w:t>
      </w:r>
      <w:r>
        <w:rPr>
          <w:rFonts w:hint="eastAsia" w:asciiTheme="minorEastAsia" w:hAnsiTheme="minorEastAsia" w:cstheme="minorEastAsia"/>
          <w:b/>
          <w:bCs/>
          <w:szCs w:val="21"/>
          <w:lang w:eastAsia="zh-CN"/>
        </w:rPr>
        <w:t>重量</w:t>
      </w:r>
      <w:r>
        <w:rPr>
          <w:rFonts w:hint="eastAsia" w:asciiTheme="minorEastAsia" w:hAnsiTheme="minorEastAsia" w:cstheme="minorEastAsia"/>
          <w:b/>
          <w:bCs/>
          <w:szCs w:val="21"/>
        </w:rPr>
        <w:t>实际是否相符，并据此作出鉴定。</w:t>
      </w:r>
    </w:p>
    <w:p w14:paraId="5C9D5B2C">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4、乙方应充分根据资产原值、净值、新旧程度、重置成本、获利能力等因素选用合适的资产评估方法；并优先在被评估资产将被持续使用的假设前提下，进行评估。</w:t>
      </w:r>
    </w:p>
    <w:p w14:paraId="0310A66A">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六、评估服务费：</w:t>
      </w:r>
    </w:p>
    <w:p w14:paraId="0BCF86F6">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1、本合同评估服务费：</w:t>
      </w:r>
      <w:r>
        <w:rPr>
          <w:rFonts w:hint="eastAsia"/>
          <w:bCs/>
          <w:color w:val="000000"/>
          <w:u w:val="single"/>
          <w:lang w:val="en-US" w:eastAsia="zh-CN"/>
        </w:rPr>
        <w:t>合肥滨湖会展中心闲置车辆评估项目</w:t>
      </w:r>
      <w:r>
        <w:rPr>
          <w:rFonts w:hint="eastAsia" w:asciiTheme="minorEastAsia" w:hAnsiTheme="minorEastAsia" w:cstheme="minorEastAsia"/>
          <w:szCs w:val="21"/>
        </w:rPr>
        <w:t>资产评估服务费为   元（大写：   ）。</w:t>
      </w:r>
    </w:p>
    <w:p w14:paraId="63508BB7">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2、上述评估服务费包括本次评估全部内容及工期的成本、利润、税金、运输费、损耗等所有费用，除此之外，甲方无需就本合同项下服务向乙方或第三方支付任何其他费用。</w:t>
      </w:r>
    </w:p>
    <w:p w14:paraId="730FCA25">
      <w:pPr>
        <w:adjustRightInd w:val="0"/>
        <w:snapToGrid w:val="0"/>
        <w:spacing w:line="520" w:lineRule="exact"/>
        <w:ind w:firstLine="420" w:firstLineChars="200"/>
        <w:jc w:val="left"/>
        <w:rPr>
          <w:rFonts w:asciiTheme="minorEastAsia" w:hAnsiTheme="minorEastAsia" w:cstheme="minorEastAsia"/>
          <w:b/>
          <w:bCs/>
          <w:szCs w:val="21"/>
        </w:rPr>
      </w:pPr>
      <w:r>
        <w:rPr>
          <w:rFonts w:hint="eastAsia" w:asciiTheme="minorEastAsia" w:hAnsiTheme="minorEastAsia" w:cstheme="minorEastAsia"/>
          <w:szCs w:val="21"/>
        </w:rPr>
        <w:t>3、付款方式：</w:t>
      </w:r>
      <w:r>
        <w:rPr>
          <w:rFonts w:hint="eastAsia"/>
          <w:b/>
          <w:bCs/>
        </w:rPr>
        <w:t>乙方完成全部评估并出具符合甲方要求的评估报告</w:t>
      </w:r>
      <w:r>
        <w:rPr>
          <w:rFonts w:hint="eastAsia"/>
          <w:b/>
          <w:bCs/>
          <w:lang w:eastAsia="zh-CN"/>
        </w:rPr>
        <w:t>，</w:t>
      </w:r>
      <w:r>
        <w:rPr>
          <w:rFonts w:hint="eastAsia"/>
          <w:b/>
          <w:bCs/>
          <w:lang w:val="en-US" w:eastAsia="zh-CN"/>
        </w:rPr>
        <w:t>经甲方确认无误且通过有关部门审核</w:t>
      </w:r>
      <w:r>
        <w:rPr>
          <w:rFonts w:hint="eastAsia"/>
          <w:b/>
          <w:bCs/>
        </w:rPr>
        <w:t>后30日内一次性支付评估费用。</w:t>
      </w:r>
      <w:r>
        <w:rPr>
          <w:rFonts w:hint="eastAsia" w:asciiTheme="minorEastAsia" w:hAnsiTheme="minorEastAsia" w:cstheme="minorEastAsia"/>
          <w:b/>
          <w:bCs/>
          <w:spacing w:val="6"/>
          <w:szCs w:val="21"/>
        </w:rPr>
        <w:t>在甲方付款前，乙方需向甲方交付等额的增值税专用发票，否则甲方有权拒绝或者延迟付款，且不承担违约责任。</w:t>
      </w:r>
    </w:p>
    <w:p w14:paraId="40A4FE55">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4、若评估范围或评估基准日发生变化，双方应签订补充协议或重新签订资产评估委托合同，评估服务费另议。</w:t>
      </w:r>
    </w:p>
    <w:p w14:paraId="5680C024">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5、</w:t>
      </w:r>
      <w:r>
        <w:rPr>
          <w:rFonts w:hint="eastAsia" w:asciiTheme="minorEastAsia" w:hAnsiTheme="minorEastAsia" w:cstheme="minorEastAsia"/>
          <w:szCs w:val="21"/>
          <w:lang w:val="en-US" w:eastAsia="zh-CN"/>
        </w:rPr>
        <w:t>因甲方</w:t>
      </w:r>
      <w:r>
        <w:rPr>
          <w:rFonts w:hint="eastAsia" w:asciiTheme="minorEastAsia" w:hAnsiTheme="minorEastAsia" w:cstheme="minorEastAsia"/>
          <w:szCs w:val="21"/>
        </w:rPr>
        <w:t>原因造成评估业务中止，甲方应按乙方已完成的评估工作量向乙方支付相应的评估服务费。</w:t>
      </w:r>
    </w:p>
    <w:p w14:paraId="1EDA0AE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6</w:t>
      </w:r>
      <w:r>
        <w:rPr>
          <w:rFonts w:hint="eastAsia" w:asciiTheme="minorEastAsia" w:hAnsiTheme="minorEastAsia" w:cstheme="minorEastAsia"/>
          <w:szCs w:val="21"/>
        </w:rPr>
        <w:t>、评估服务费的支付方式为转账汇款，乙方不接受现金形式的支付方式。</w:t>
      </w:r>
    </w:p>
    <w:p w14:paraId="5712E532">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7</w:t>
      </w:r>
      <w:r>
        <w:rPr>
          <w:rFonts w:hint="eastAsia" w:asciiTheme="minorEastAsia" w:hAnsiTheme="minorEastAsia" w:cstheme="minorEastAsia"/>
          <w:szCs w:val="21"/>
        </w:rPr>
        <w:t>、乙方可接受的支付币种为人民币。</w:t>
      </w:r>
    </w:p>
    <w:p w14:paraId="36A18BB3">
      <w:pPr>
        <w:snapToGrid w:val="0"/>
        <w:spacing w:line="520" w:lineRule="atLeast"/>
        <w:ind w:firstLine="420" w:firstLineChars="200"/>
        <w:rPr>
          <w:rFonts w:asciiTheme="minorEastAsia" w:hAnsiTheme="minorEastAsia" w:cstheme="minorEastAsia"/>
          <w:b/>
          <w:szCs w:val="21"/>
        </w:rPr>
      </w:pPr>
      <w:r>
        <w:rPr>
          <w:rFonts w:hint="eastAsia" w:asciiTheme="minorEastAsia" w:hAnsiTheme="minorEastAsia" w:cstheme="minorEastAsia"/>
          <w:szCs w:val="21"/>
          <w:lang w:val="en-US" w:eastAsia="zh-CN"/>
        </w:rPr>
        <w:t>8</w:t>
      </w:r>
      <w:r>
        <w:rPr>
          <w:rFonts w:hint="eastAsia" w:asciiTheme="minorEastAsia" w:hAnsiTheme="minorEastAsia" w:cstheme="minorEastAsia"/>
          <w:szCs w:val="21"/>
        </w:rPr>
        <w:t>、</w:t>
      </w:r>
      <w:r>
        <w:rPr>
          <w:rFonts w:hint="eastAsia" w:asciiTheme="minorEastAsia" w:hAnsiTheme="minorEastAsia" w:cstheme="minorEastAsia"/>
          <w:b/>
          <w:szCs w:val="21"/>
        </w:rPr>
        <w:t>开户行：</w:t>
      </w:r>
    </w:p>
    <w:p w14:paraId="272A84FD">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账户名称：</w:t>
      </w:r>
    </w:p>
    <w:p w14:paraId="0AABD935">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账号：</w:t>
      </w:r>
    </w:p>
    <w:p w14:paraId="2206DD1C">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032686FA">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七、关于发票的特别约定：</w:t>
      </w:r>
    </w:p>
    <w:p w14:paraId="70941DE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1、发票上的购买方应与评估服务费支付方一致，若评估服务费支付方、支付金额等发生变化的，应签订补充协议另行约定，并及时更换发票。</w:t>
      </w:r>
    </w:p>
    <w:p w14:paraId="785623C3">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八、双方权利和义务：</w:t>
      </w:r>
    </w:p>
    <w:p w14:paraId="15C43B57">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甲方和其他相关当事人须向乙方提供资产评估业务需要的资料并保证所提供资料的真实性、完整性、合法性；甲方和其他相关当事人应当对其提供的资产评估明细表及其他重要资料的真实性、完整性、合法性以签名、盖章或者法律允许的其他方式进行确认。</w:t>
      </w:r>
    </w:p>
    <w:p w14:paraId="5DB77C3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 xml:space="preserve">2、甲方应当为乙方及其专业人员执行评估业务提供必要的工作条件和协助；甲方应当根据评估业务需要，负责乙方及其专业人员与相关当事人之间的协调。 </w:t>
      </w:r>
    </w:p>
    <w:p w14:paraId="3819507B">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3、甲方应当按照本合同第四条的约定恰当使用资产评估报告。</w:t>
      </w:r>
    </w:p>
    <w:p w14:paraId="1C5F373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4、乙方有责任按照本合同的约定按时按质完成资产评估工作。</w:t>
      </w:r>
    </w:p>
    <w:p w14:paraId="1927D2D7">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5、乙方及其专业人员应当遵守相关法律、行政法规和资产评估准则，对评估对象在评估基准日特定目的下的价值进行分析和估算并出具资产评估报告。</w:t>
      </w:r>
    </w:p>
    <w:p w14:paraId="3DDFB57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6、乙方应当按照《国有资产评估管理办法》（国务院令第91号）等开展评估工作，并出具符合《企业国有资产评估报告指南》（中评协[2017]42号）的规定的资产评估报告。</w:t>
      </w:r>
    </w:p>
    <w:p w14:paraId="7B2E33EB">
      <w:pPr>
        <w:pStyle w:val="58"/>
        <w:spacing w:line="520" w:lineRule="atLeast"/>
        <w:ind w:firstLine="420"/>
        <w:rPr>
          <w:rFonts w:asciiTheme="minorEastAsia" w:hAnsiTheme="minorEastAsia" w:cstheme="minorEastAsia"/>
          <w:sz w:val="21"/>
          <w:szCs w:val="21"/>
          <w:lang w:val="en-US"/>
        </w:rPr>
      </w:pPr>
      <w:r>
        <w:rPr>
          <w:rFonts w:hint="eastAsia" w:asciiTheme="minorEastAsia" w:hAnsiTheme="minorEastAsia" w:cstheme="minorEastAsia"/>
          <w:sz w:val="21"/>
          <w:szCs w:val="21"/>
          <w:lang w:val="en-US"/>
        </w:rPr>
        <w:t>7.乙方对甲方及相关当事人内部资料、商业秘密、估值结果及约定的保密事项有保守秘密的义务。</w:t>
      </w:r>
    </w:p>
    <w:p w14:paraId="31FFFB5B">
      <w:pPr>
        <w:pStyle w:val="58"/>
        <w:spacing w:line="520" w:lineRule="atLeast"/>
        <w:ind w:firstLine="420"/>
        <w:rPr>
          <w:rFonts w:hint="eastAsia" w:asciiTheme="minorEastAsia" w:hAnsiTheme="minorEastAsia" w:cstheme="minorEastAsia"/>
          <w:sz w:val="21"/>
          <w:szCs w:val="21"/>
          <w:lang w:val="en-US"/>
        </w:rPr>
      </w:pPr>
      <w:r>
        <w:rPr>
          <w:rFonts w:hint="eastAsia" w:asciiTheme="minorEastAsia" w:hAnsiTheme="minorEastAsia" w:cstheme="minorEastAsia"/>
          <w:sz w:val="21"/>
          <w:szCs w:val="21"/>
          <w:lang w:val="en-US"/>
        </w:rPr>
        <w:t>8.当甲方认定乙方委派的评估专业人员不足以妥善履行评估职责时，乙方应及时更换评估人员。</w:t>
      </w:r>
    </w:p>
    <w:p w14:paraId="1E959020">
      <w:pPr>
        <w:spacing w:line="460" w:lineRule="exact"/>
        <w:ind w:firstLine="420" w:firstLineChars="200"/>
        <w:rPr>
          <w:rFonts w:hint="eastAsia" w:asciiTheme="minorEastAsia" w:hAnsiTheme="minorEastAsia" w:cstheme="minorEastAsia"/>
          <w:sz w:val="21"/>
          <w:szCs w:val="21"/>
          <w:lang w:val="en-US"/>
        </w:rPr>
      </w:pPr>
      <w:r>
        <w:rPr>
          <w:rFonts w:hint="eastAsia" w:ascii="宋体" w:hAnsi="宋体"/>
          <w:color w:val="000000" w:themeColor="text1"/>
          <w:szCs w:val="21"/>
          <w:lang w:val="en-US" w:eastAsia="zh-CN"/>
          <w14:textFill>
            <w14:solidFill>
              <w14:schemeClr w14:val="tx1"/>
            </w14:solidFill>
          </w14:textFill>
        </w:rPr>
        <w:t>9.乙方及乙方指派的资产评估师和相关评估机构未经甲方书面同意，不得使用或泄露其在审计过程中知悉的商业秘密以及与委托方讨论、签订、执行本合同过程中所获悉的应予以保密的文件及资料(包括商业秘密、公司计划、运营活动、财务信息、技术信息、经营信息及其他商业秘密)。</w:t>
      </w:r>
    </w:p>
    <w:p w14:paraId="79075F6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双方如不履行上述义务，视为违约。</w:t>
      </w:r>
    </w:p>
    <w:p w14:paraId="6977BD1E">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九、双方违约责任：</w:t>
      </w:r>
    </w:p>
    <w:p w14:paraId="533F5695">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甲方拒绝向乙方支付评估服务费，乙方有权停止工作或不向甲方提供资产评估报告。非因甲方原因，乙方逾期提供评估报告或无法提供评估报告，甲方有权拒绝支付评估服务费，且甲方因此产生的损失由乙方承担。</w:t>
      </w:r>
    </w:p>
    <w:p w14:paraId="272BD9B3">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2、甲方未同乙方协商而擅自变更或解除本合同，不得索要已支付给乙方的款项，乙方有权要求甲方按照已完成的评估工作量支付相应的评估服务费。</w:t>
      </w:r>
    </w:p>
    <w:p w14:paraId="0F97E13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3、乙方未同甲方协商擅自变更或解除本合同，应全额返回甲方已支付的评估服务费用，</w:t>
      </w:r>
      <w:r>
        <w:rPr>
          <w:rFonts w:hint="eastAsia" w:asciiTheme="minorEastAsia" w:hAnsiTheme="minorEastAsia" w:cstheme="minorEastAsia"/>
          <w:szCs w:val="21"/>
          <w:lang w:val="en-US" w:eastAsia="zh-CN"/>
        </w:rPr>
        <w:t>甲方因此产生的损失由乙方承担。</w:t>
      </w:r>
      <w:r>
        <w:rPr>
          <w:rFonts w:hint="eastAsia" w:asciiTheme="minorEastAsia" w:hAnsiTheme="minorEastAsia" w:cstheme="minorEastAsia"/>
          <w:szCs w:val="21"/>
        </w:rPr>
        <w:t>但本合同第十条第2款和第3款所列情形除外。</w:t>
      </w:r>
    </w:p>
    <w:p w14:paraId="6641073D">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4、甲方未及时向乙方提供资产评估所需的文件、资料，或提供的文件和资料不真实，因此产生的不良后果由甲方负责，乙方不承担责任。</w:t>
      </w:r>
    </w:p>
    <w:p w14:paraId="5E02AA41">
      <w:pPr>
        <w:pStyle w:val="59"/>
        <w:adjustRightInd w:val="0"/>
        <w:snapToGrid w:val="0"/>
        <w:spacing w:line="520" w:lineRule="atLeast"/>
        <w:rPr>
          <w:rFonts w:asciiTheme="minorEastAsia" w:hAnsiTheme="minorEastAsia" w:cstheme="minorEastAsia"/>
          <w:szCs w:val="21"/>
        </w:rPr>
      </w:pPr>
      <w:r>
        <w:rPr>
          <w:rFonts w:hint="eastAsia" w:asciiTheme="minorEastAsia" w:hAnsiTheme="minorEastAsia" w:cstheme="minorEastAsia"/>
          <w:szCs w:val="21"/>
        </w:rPr>
        <w:t>5.乙方违反本委托合同，不能在约定时间内提供专业水准的评估报告，每延期一天，支付相当于服务费总额0.5‰的违约金，如由此造成经济行为确指的资产业务无法进行或造成严重后果的，乙方应退还已收全部服务费，并承担相应的法律责任。延期超过十日的，甲方有权解除本合同，并要求乙方赔偿造成的全部损失。</w:t>
      </w:r>
    </w:p>
    <w:p w14:paraId="4FEAE856">
      <w:pPr>
        <w:pStyle w:val="22"/>
        <w:spacing w:line="520" w:lineRule="atLeast"/>
        <w:ind w:left="0" w:leftChars="0"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6.乙方或其工作人员违反信息保密义务给甲方造成损失的，乙方应承担赔偿责任；乙方报告出现错误给甲方或合法使用报告的第三方造成损失的，乙方应承担赔偿责任。</w:t>
      </w:r>
      <w:r>
        <w:rPr>
          <w:rFonts w:hint="eastAsia" w:asciiTheme="minorEastAsia" w:hAnsiTheme="minorEastAsia" w:cstheme="minorEastAsia"/>
          <w:szCs w:val="21"/>
          <w:lang w:val="en-US" w:eastAsia="zh-CN"/>
        </w:rPr>
        <w:t>乙方违反本合同约定的保密义务，</w:t>
      </w:r>
      <w:r>
        <w:rPr>
          <w:rFonts w:hint="eastAsia" w:asciiTheme="minorEastAsia" w:hAnsiTheme="minorEastAsia" w:cstheme="minorEastAsia"/>
          <w:szCs w:val="21"/>
        </w:rPr>
        <w:t>甲方</w:t>
      </w:r>
      <w:r>
        <w:rPr>
          <w:rFonts w:hint="eastAsia" w:asciiTheme="minorEastAsia" w:hAnsiTheme="minorEastAsia" w:cstheme="minorEastAsia"/>
          <w:szCs w:val="21"/>
          <w:lang w:val="en-US" w:eastAsia="zh-CN"/>
        </w:rPr>
        <w:t>还</w:t>
      </w:r>
      <w:r>
        <w:rPr>
          <w:rFonts w:hint="eastAsia" w:asciiTheme="minorEastAsia" w:hAnsiTheme="minorEastAsia" w:cstheme="minorEastAsia"/>
          <w:szCs w:val="21"/>
        </w:rPr>
        <w:t>有权解除合同并可要求乙方支付本合同评估费总金额 20% 的违约金</w:t>
      </w:r>
      <w:r>
        <w:rPr>
          <w:rFonts w:hint="eastAsia" w:asciiTheme="minorEastAsia" w:hAnsiTheme="minorEastAsia" w:cstheme="minorEastAsia"/>
          <w:szCs w:val="21"/>
          <w:lang w:eastAsia="zh-CN"/>
        </w:rPr>
        <w:t>。</w:t>
      </w:r>
    </w:p>
    <w:p w14:paraId="77380C85">
      <w:pPr>
        <w:spacing w:line="460" w:lineRule="exact"/>
        <w:ind w:firstLine="420" w:firstLineChars="200"/>
        <w:rPr>
          <w:rFonts w:hint="eastAsia" w:ascii="宋体" w:hAnsi="宋体"/>
          <w:color w:val="000000" w:themeColor="text1"/>
          <w:szCs w:val="21"/>
          <w:lang w:val="en-US" w:eastAsia="zh-CN"/>
          <w14:textFill>
            <w14:solidFill>
              <w14:schemeClr w14:val="tx1"/>
            </w14:solidFill>
          </w14:textFill>
        </w:rPr>
      </w:pPr>
      <w:r>
        <w:rPr>
          <w:rFonts w:hint="eastAsia" w:asciiTheme="minorEastAsia" w:hAnsiTheme="minorEastAsia" w:cstheme="minorEastAsia"/>
          <w:szCs w:val="21"/>
          <w:lang w:val="en-US" w:eastAsia="zh-CN"/>
        </w:rPr>
        <w:t>7.</w:t>
      </w:r>
      <w:r>
        <w:rPr>
          <w:rFonts w:hint="eastAsia" w:ascii="宋体" w:hAnsi="宋体"/>
          <w:color w:val="000000" w:themeColor="text1"/>
          <w:szCs w:val="21"/>
          <w:lang w:val="en-US" w:eastAsia="zh-CN"/>
          <w14:textFill>
            <w14:solidFill>
              <w14:schemeClr w14:val="tx1"/>
            </w14:solidFill>
          </w14:textFill>
        </w:rPr>
        <w:t>乙方应保证提供的评估报告应通过合肥市国有资产监督管理单位或其他有关部门的审核，否则应及时负责修改调整，并按逾期完成承担违约责任，直至通过合肥市国资委管理部门审核。若乙方经甲方要求限期仍无法更正的，甲方有权解除合同并要求乙方退还所收取的评估服务费用，甲方因此产生的损失由乙方承担。</w:t>
      </w:r>
    </w:p>
    <w:p w14:paraId="10141CC9">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十、双方争议解决及其他：</w:t>
      </w:r>
    </w:p>
    <w:p w14:paraId="333F414B">
      <w:pPr>
        <w:snapToGrid w:val="0"/>
        <w:spacing w:line="520" w:lineRule="atLeast"/>
        <w:ind w:firstLine="420" w:firstLineChars="200"/>
        <w:outlineLvl w:val="2"/>
        <w:rPr>
          <w:rFonts w:asciiTheme="minorEastAsia" w:hAnsiTheme="minorEastAsia" w:cstheme="minorEastAsia"/>
          <w:szCs w:val="21"/>
        </w:rPr>
      </w:pPr>
      <w:r>
        <w:rPr>
          <w:rFonts w:hint="eastAsia" w:asciiTheme="minorEastAsia" w:hAnsiTheme="minorEastAsia" w:cstheme="minorEastAsia"/>
          <w:szCs w:val="21"/>
        </w:rPr>
        <w:t>1、本合同经双方协商一致可以终止或解除。</w:t>
      </w:r>
    </w:p>
    <w:p w14:paraId="469CE336">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因甲方和其他相关当事人原因导致资产评估程序受限，对与评估目的相对应的评估结论构成重大影响，乙方无法履行本合同时，乙方可以单方解除本合同，甲方应根据乙方已开展资产评估业务的时间、进度，或者完成的评估工作量向乙方支付相应的评估服务费。</w:t>
      </w:r>
    </w:p>
    <w:p w14:paraId="503495E7">
      <w:pPr>
        <w:spacing w:line="46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宋体" w:hAnsi="宋体"/>
          <w:color w:val="000000" w:themeColor="text1"/>
          <w:szCs w:val="21"/>
          <w:lang w:val="en-US" w:eastAsia="zh-CN"/>
          <w14:textFill>
            <w14:solidFill>
              <w14:schemeClr w14:val="tx1"/>
            </w14:solidFill>
          </w14:textFill>
        </w:rPr>
        <w:t>因</w:t>
      </w:r>
      <w:r>
        <w:rPr>
          <w:rFonts w:hint="eastAsia" w:ascii="宋体" w:hAnsi="宋体"/>
          <w:color w:val="000000" w:themeColor="text1"/>
          <w:szCs w:val="21"/>
          <w14:textFill>
            <w14:solidFill>
              <w14:schemeClr w14:val="tx1"/>
            </w14:solidFill>
          </w14:textFill>
        </w:rPr>
        <w:t>甲方或者其他资产评估报告使用人原因导致资产评估程序受限，乙方</w:t>
      </w:r>
      <w:r>
        <w:rPr>
          <w:rFonts w:hint="eastAsia" w:ascii="宋体" w:hAnsi="宋体"/>
          <w:color w:val="000000" w:themeColor="text1"/>
          <w:szCs w:val="21"/>
          <w:lang w:val="en-US" w:eastAsia="zh-CN"/>
          <w14:textFill>
            <w14:solidFill>
              <w14:schemeClr w14:val="tx1"/>
            </w14:solidFill>
          </w14:textFill>
        </w:rPr>
        <w:t>应第一时间积极与甲方沟通，排除资产评估程序相关障碍，继续履行合同；若因甲方原因确定乙方无法继续履行资产评估委托合同的，乙方</w:t>
      </w:r>
      <w:r>
        <w:rPr>
          <w:rFonts w:hint="eastAsia" w:ascii="宋体" w:hAnsi="宋体"/>
          <w:color w:val="000000" w:themeColor="text1"/>
          <w:szCs w:val="21"/>
          <w14:textFill>
            <w14:solidFill>
              <w14:schemeClr w14:val="tx1"/>
            </w14:solidFill>
          </w14:textFill>
        </w:rPr>
        <w:t>可以单方解除资产评估委托合同</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甲方应按照已经开展资产评估业务的时间、进度，或者已经完成的工作量支付相应的评估服务费。</w:t>
      </w:r>
    </w:p>
    <w:p w14:paraId="0143B1B9">
      <w:pPr>
        <w:snapToGrid w:val="0"/>
        <w:spacing w:line="520" w:lineRule="atLeast"/>
        <w:ind w:firstLine="420" w:firstLineChars="200"/>
        <w:rPr>
          <w:rFonts w:asciiTheme="minorEastAsia" w:hAnsiTheme="minorEastAsia" w:cstheme="minorEastAsia"/>
          <w:kern w:val="32"/>
          <w:szCs w:val="21"/>
        </w:rPr>
      </w:pPr>
      <w:r>
        <w:rPr>
          <w:rFonts w:hint="eastAsia" w:asciiTheme="minorEastAsia" w:hAnsiTheme="minorEastAsia" w:cstheme="minorEastAsia"/>
          <w:kern w:val="32"/>
          <w:szCs w:val="21"/>
        </w:rPr>
        <w:t>4、本合同未明确的内容或未尽事宜由双方协商，协商达成一致后以纸质形式作为本合同的附件</w:t>
      </w:r>
      <w:r>
        <w:rPr>
          <w:rFonts w:hint="eastAsia" w:asciiTheme="minorEastAsia" w:hAnsiTheme="minorEastAsia" w:cstheme="minorEastAsia"/>
          <w:kern w:val="32"/>
          <w:szCs w:val="21"/>
          <w:lang w:eastAsia="zh-CN"/>
        </w:rPr>
        <w:t>，</w:t>
      </w:r>
      <w:r>
        <w:rPr>
          <w:rFonts w:hint="eastAsia" w:asciiTheme="minorEastAsia" w:hAnsiTheme="minorEastAsia" w:cstheme="minorEastAsia"/>
          <w:kern w:val="32"/>
          <w:szCs w:val="21"/>
        </w:rPr>
        <w:t>法律效力</w:t>
      </w:r>
      <w:r>
        <w:rPr>
          <w:rFonts w:hint="eastAsia" w:asciiTheme="minorEastAsia" w:hAnsiTheme="minorEastAsia" w:cstheme="minorEastAsia"/>
          <w:kern w:val="32"/>
          <w:szCs w:val="21"/>
          <w:lang w:val="en-US" w:eastAsia="zh-CN"/>
        </w:rPr>
        <w:t>优先于本合同</w:t>
      </w:r>
      <w:r>
        <w:rPr>
          <w:rFonts w:hint="eastAsia" w:asciiTheme="minorEastAsia" w:hAnsiTheme="minorEastAsia" w:cstheme="minorEastAsia"/>
          <w:kern w:val="32"/>
          <w:szCs w:val="21"/>
        </w:rPr>
        <w:t>。</w:t>
      </w:r>
    </w:p>
    <w:p w14:paraId="58D00E91">
      <w:pPr>
        <w:snapToGrid w:val="0"/>
        <w:spacing w:line="520" w:lineRule="atLeast"/>
        <w:ind w:firstLine="420" w:firstLineChars="200"/>
        <w:rPr>
          <w:rFonts w:asciiTheme="minorEastAsia" w:hAnsiTheme="minorEastAsia" w:cstheme="minorEastAsia"/>
          <w:kern w:val="32"/>
          <w:szCs w:val="21"/>
        </w:rPr>
      </w:pPr>
      <w:r>
        <w:rPr>
          <w:rFonts w:hint="eastAsia" w:asciiTheme="minorEastAsia" w:hAnsiTheme="minorEastAsia" w:cstheme="minorEastAsia"/>
          <w:kern w:val="32"/>
          <w:szCs w:val="21"/>
        </w:rPr>
        <w:t>5、因本合同</w:t>
      </w:r>
      <w:r>
        <w:rPr>
          <w:rFonts w:hint="eastAsia" w:asciiTheme="minorEastAsia" w:hAnsiTheme="minorEastAsia" w:cstheme="minorEastAsia"/>
          <w:szCs w:val="21"/>
        </w:rPr>
        <w:t>产生</w:t>
      </w:r>
      <w:r>
        <w:rPr>
          <w:rFonts w:hint="eastAsia" w:asciiTheme="minorEastAsia" w:hAnsiTheme="minorEastAsia" w:cstheme="minorEastAsia"/>
          <w:kern w:val="32"/>
          <w:szCs w:val="21"/>
        </w:rPr>
        <w:t>的争议由双方协商解决，协商不成时，任何一方可向甲方所在地有管辖权的人民法院起诉。</w:t>
      </w:r>
    </w:p>
    <w:p w14:paraId="19D72499">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6、本合同经双方代表签名，并加盖单位公章或合同专用章后，即发生法律效力。</w:t>
      </w:r>
    </w:p>
    <w:p w14:paraId="3E572D1B">
      <w:pPr>
        <w:snapToGrid w:val="0"/>
        <w:spacing w:line="520" w:lineRule="atLeast"/>
        <w:ind w:firstLine="420" w:firstLineChars="200"/>
        <w:outlineLvl w:val="2"/>
        <w:rPr>
          <w:rFonts w:asciiTheme="minorEastAsia" w:hAnsiTheme="minorEastAsia" w:cstheme="minorEastAsia"/>
          <w:szCs w:val="21"/>
        </w:rPr>
      </w:pPr>
      <w:r>
        <w:rPr>
          <w:rFonts w:hint="eastAsia" w:asciiTheme="minorEastAsia" w:hAnsiTheme="minorEastAsia" w:cstheme="minorEastAsia"/>
          <w:szCs w:val="21"/>
        </w:rPr>
        <w:t>7、本合同正本一式贰份，甲乙双方各执壹份，具有同等法律效力。</w:t>
      </w:r>
    </w:p>
    <w:p w14:paraId="553CD091">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8、如遇到国家有关政策调整、法律修改及其他不可抗力事件，导致甲、乙双方或任何一方无法履行本合同，受到不可抗力导致无法履行合同义务的一方应该及时书面通知守约方，同时前述“无法履行合同义务”不视为违约情形。一旦不可抗力情形消除，应立即恢复对合同的履行。所遗留问题由双方协商解决。</w:t>
      </w:r>
    </w:p>
    <w:p w14:paraId="0E428E14">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9、本合同中“甲方代表”“乙方代表”特指合同当事人双方企业法定代表人或法定代表人的授权人。</w:t>
      </w:r>
    </w:p>
    <w:p w14:paraId="6A76F9CE">
      <w:pPr>
        <w:pStyle w:val="22"/>
        <w:ind w:left="0" w:leftChars="0"/>
        <w:rPr>
          <w:rFonts w:asciiTheme="minorEastAsia" w:hAnsiTheme="minorEastAsia" w:cstheme="minorEastAsia"/>
          <w:szCs w:val="21"/>
        </w:rPr>
      </w:pPr>
      <w:r>
        <w:rPr>
          <w:rFonts w:hint="eastAsia" w:asciiTheme="minorEastAsia" w:hAnsiTheme="minorEastAsia" w:cstheme="minorEastAsia"/>
          <w:szCs w:val="21"/>
        </w:rPr>
        <w:t>10、下列询价文件及有关附件是本合同不可分割的组成部分，并构成一个整体，需综合解释、相互补充。如果下列文件内容出现不一致的情形，组成本合同的多个文件的优先适用及解释的顺序如下：</w:t>
      </w:r>
    </w:p>
    <w:p w14:paraId="7679E929">
      <w:pPr>
        <w:pStyle w:val="22"/>
        <w:ind w:left="0" w:leftChars="0"/>
        <w:rPr>
          <w:rFonts w:asciiTheme="minorEastAsia" w:hAnsiTheme="minorEastAsia" w:cstheme="minorEastAsia"/>
          <w:szCs w:val="21"/>
        </w:rPr>
      </w:pPr>
      <w:r>
        <w:rPr>
          <w:rFonts w:hint="eastAsia" w:asciiTheme="minorEastAsia" w:hAnsiTheme="minorEastAsia" w:cstheme="minorEastAsia"/>
          <w:szCs w:val="21"/>
        </w:rPr>
        <w:t>（1）本合同及其补充合同、变更协议；</w:t>
      </w:r>
    </w:p>
    <w:p w14:paraId="3280BF5E">
      <w:pPr>
        <w:pStyle w:val="22"/>
        <w:ind w:left="0" w:leftChars="0"/>
        <w:rPr>
          <w:rFonts w:asciiTheme="minorEastAsia" w:hAnsiTheme="minorEastAsia" w:cstheme="minorEastAsia"/>
          <w:szCs w:val="21"/>
        </w:rPr>
      </w:pPr>
      <w:r>
        <w:rPr>
          <w:rFonts w:hint="eastAsia" w:asciiTheme="minorEastAsia" w:hAnsiTheme="minorEastAsia" w:cstheme="minorEastAsia"/>
          <w:szCs w:val="21"/>
        </w:rPr>
        <w:t>（2）成交（中标）通知书；</w:t>
      </w:r>
    </w:p>
    <w:p w14:paraId="2F2FDC16">
      <w:pPr>
        <w:pStyle w:val="22"/>
        <w:ind w:left="0" w:leftChars="0"/>
        <w:rPr>
          <w:rFonts w:asciiTheme="minorEastAsia" w:hAnsiTheme="minorEastAsia" w:cstheme="minorEastAsia"/>
          <w:szCs w:val="21"/>
        </w:rPr>
      </w:pPr>
      <w:r>
        <w:rPr>
          <w:rFonts w:hint="eastAsia" w:asciiTheme="minorEastAsia" w:hAnsiTheme="minorEastAsia" w:cstheme="minorEastAsia"/>
          <w:szCs w:val="21"/>
        </w:rPr>
        <w:t>（3）经甲方确认的乙方承诺书；</w:t>
      </w:r>
    </w:p>
    <w:p w14:paraId="55760655">
      <w:pPr>
        <w:pStyle w:val="22"/>
        <w:ind w:left="0" w:leftChars="0"/>
        <w:rPr>
          <w:rFonts w:asciiTheme="minorEastAsia" w:hAnsiTheme="minorEastAsia" w:cstheme="minorEastAsia"/>
          <w:szCs w:val="21"/>
        </w:rPr>
      </w:pPr>
      <w:r>
        <w:rPr>
          <w:rFonts w:hint="eastAsia" w:asciiTheme="minorEastAsia" w:hAnsiTheme="minorEastAsia" w:cstheme="minorEastAsia"/>
          <w:szCs w:val="21"/>
        </w:rPr>
        <w:t>（4）询价文件（含澄清或者修改文件）；</w:t>
      </w:r>
    </w:p>
    <w:p w14:paraId="1EFDEB9F">
      <w:pPr>
        <w:pStyle w:val="22"/>
        <w:ind w:left="0" w:leftChars="0"/>
        <w:rPr>
          <w:rFonts w:asciiTheme="minorEastAsia" w:hAnsiTheme="minorEastAsia" w:cstheme="minorEastAsia"/>
          <w:szCs w:val="21"/>
        </w:rPr>
      </w:pPr>
      <w:r>
        <w:rPr>
          <w:rFonts w:hint="eastAsia" w:asciiTheme="minorEastAsia" w:hAnsiTheme="minorEastAsia" w:cstheme="minorEastAsia"/>
          <w:szCs w:val="21"/>
        </w:rPr>
        <w:t>（5）投标文件；</w:t>
      </w:r>
    </w:p>
    <w:p w14:paraId="3E30BE98">
      <w:pPr>
        <w:pStyle w:val="22"/>
        <w:ind w:left="0" w:leftChars="0"/>
        <w:rPr>
          <w:rFonts w:asciiTheme="minorEastAsia" w:hAnsiTheme="minorEastAsia" w:cstheme="minorEastAsia"/>
          <w:szCs w:val="21"/>
        </w:rPr>
      </w:pPr>
      <w:r>
        <w:rPr>
          <w:rFonts w:hint="eastAsia" w:asciiTheme="minorEastAsia" w:hAnsiTheme="minorEastAsia" w:cstheme="minorEastAsia"/>
          <w:szCs w:val="21"/>
        </w:rPr>
        <w:t>（6）其他相关询价文件。</w:t>
      </w:r>
    </w:p>
    <w:p w14:paraId="048E45BF">
      <w:pPr>
        <w:snapToGrid w:val="0"/>
        <w:spacing w:line="520" w:lineRule="atLeast"/>
        <w:ind w:firstLine="420" w:firstLineChars="200"/>
        <w:rPr>
          <w:rFonts w:asciiTheme="minorEastAsia" w:hAnsiTheme="minorEastAsia" w:cstheme="minorEastAsia"/>
          <w:szCs w:val="21"/>
        </w:rPr>
      </w:pPr>
    </w:p>
    <w:tbl>
      <w:tblPr>
        <w:tblStyle w:val="23"/>
        <w:tblW w:w="8718" w:type="dxa"/>
        <w:tblInd w:w="108" w:type="dxa"/>
        <w:tblLayout w:type="autofit"/>
        <w:tblCellMar>
          <w:top w:w="0" w:type="dxa"/>
          <w:left w:w="108" w:type="dxa"/>
          <w:bottom w:w="0" w:type="dxa"/>
          <w:right w:w="108" w:type="dxa"/>
        </w:tblCellMar>
      </w:tblPr>
      <w:tblGrid>
        <w:gridCol w:w="4536"/>
        <w:gridCol w:w="4182"/>
      </w:tblGrid>
      <w:tr w14:paraId="3493C324">
        <w:tblPrEx>
          <w:tblCellMar>
            <w:top w:w="0" w:type="dxa"/>
            <w:left w:w="108" w:type="dxa"/>
            <w:bottom w:w="0" w:type="dxa"/>
            <w:right w:w="108" w:type="dxa"/>
          </w:tblCellMar>
        </w:tblPrEx>
        <w:trPr>
          <w:trHeight w:val="505" w:hRule="atLeast"/>
        </w:trPr>
        <w:tc>
          <w:tcPr>
            <w:tcW w:w="4536" w:type="dxa"/>
          </w:tcPr>
          <w:p w14:paraId="077959D9">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 xml:space="preserve">甲方（盖章）： </w:t>
            </w:r>
          </w:p>
        </w:tc>
        <w:tc>
          <w:tcPr>
            <w:tcW w:w="4182" w:type="dxa"/>
          </w:tcPr>
          <w:p w14:paraId="73593C8D">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乙方（盖章）：</w:t>
            </w:r>
          </w:p>
        </w:tc>
      </w:tr>
      <w:tr w14:paraId="6AFF80EC">
        <w:tblPrEx>
          <w:tblCellMar>
            <w:top w:w="0" w:type="dxa"/>
            <w:left w:w="108" w:type="dxa"/>
            <w:bottom w:w="0" w:type="dxa"/>
            <w:right w:w="108" w:type="dxa"/>
          </w:tblCellMar>
        </w:tblPrEx>
        <w:trPr>
          <w:trHeight w:val="620" w:hRule="atLeast"/>
        </w:trPr>
        <w:tc>
          <w:tcPr>
            <w:tcW w:w="4536" w:type="dxa"/>
          </w:tcPr>
          <w:p w14:paraId="2021B0AD">
            <w:pPr>
              <w:snapToGrid w:val="0"/>
              <w:spacing w:line="520" w:lineRule="atLeast"/>
              <w:rPr>
                <w:rFonts w:asciiTheme="minorEastAsia" w:hAnsiTheme="minorEastAsia" w:cstheme="minorEastAsia"/>
                <w:spacing w:val="10"/>
                <w:szCs w:val="21"/>
              </w:rPr>
            </w:pPr>
          </w:p>
        </w:tc>
        <w:tc>
          <w:tcPr>
            <w:tcW w:w="4182" w:type="dxa"/>
          </w:tcPr>
          <w:p w14:paraId="15A01FB4">
            <w:pPr>
              <w:snapToGrid w:val="0"/>
              <w:spacing w:line="520" w:lineRule="atLeast"/>
              <w:rPr>
                <w:rFonts w:asciiTheme="minorEastAsia" w:hAnsiTheme="minorEastAsia" w:cstheme="minorEastAsia"/>
                <w:spacing w:val="10"/>
                <w:szCs w:val="21"/>
              </w:rPr>
            </w:pPr>
          </w:p>
        </w:tc>
      </w:tr>
      <w:tr w14:paraId="05EAD31E">
        <w:tblPrEx>
          <w:tblCellMar>
            <w:top w:w="0" w:type="dxa"/>
            <w:left w:w="108" w:type="dxa"/>
            <w:bottom w:w="0" w:type="dxa"/>
            <w:right w:w="108" w:type="dxa"/>
          </w:tblCellMar>
        </w:tblPrEx>
        <w:tc>
          <w:tcPr>
            <w:tcW w:w="4536" w:type="dxa"/>
          </w:tcPr>
          <w:p w14:paraId="5380B68C">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甲方代表（签名）：</w:t>
            </w:r>
          </w:p>
        </w:tc>
        <w:tc>
          <w:tcPr>
            <w:tcW w:w="4182" w:type="dxa"/>
          </w:tcPr>
          <w:p w14:paraId="738F2647">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乙方代表（签名）：</w:t>
            </w:r>
          </w:p>
        </w:tc>
      </w:tr>
      <w:tr w14:paraId="59137E6C">
        <w:tblPrEx>
          <w:tblCellMar>
            <w:top w:w="0" w:type="dxa"/>
            <w:left w:w="108" w:type="dxa"/>
            <w:bottom w:w="0" w:type="dxa"/>
            <w:right w:w="108" w:type="dxa"/>
          </w:tblCellMar>
        </w:tblPrEx>
        <w:trPr>
          <w:trHeight w:val="593" w:hRule="atLeast"/>
        </w:trPr>
        <w:tc>
          <w:tcPr>
            <w:tcW w:w="4536" w:type="dxa"/>
          </w:tcPr>
          <w:p w14:paraId="47597261">
            <w:pPr>
              <w:snapToGrid w:val="0"/>
              <w:spacing w:line="520" w:lineRule="atLeast"/>
              <w:rPr>
                <w:rFonts w:asciiTheme="minorEastAsia" w:hAnsiTheme="minorEastAsia" w:cstheme="minorEastAsia"/>
                <w:spacing w:val="10"/>
                <w:szCs w:val="21"/>
              </w:rPr>
            </w:pPr>
          </w:p>
        </w:tc>
        <w:tc>
          <w:tcPr>
            <w:tcW w:w="4182" w:type="dxa"/>
          </w:tcPr>
          <w:p w14:paraId="619B3804">
            <w:pPr>
              <w:snapToGrid w:val="0"/>
              <w:spacing w:line="520" w:lineRule="atLeast"/>
              <w:rPr>
                <w:rFonts w:asciiTheme="minorEastAsia" w:hAnsiTheme="minorEastAsia" w:cstheme="minorEastAsia"/>
                <w:spacing w:val="10"/>
                <w:szCs w:val="21"/>
              </w:rPr>
            </w:pPr>
          </w:p>
        </w:tc>
      </w:tr>
      <w:tr w14:paraId="01F67B17">
        <w:tblPrEx>
          <w:tblCellMar>
            <w:top w:w="0" w:type="dxa"/>
            <w:left w:w="108" w:type="dxa"/>
            <w:bottom w:w="0" w:type="dxa"/>
            <w:right w:w="108" w:type="dxa"/>
          </w:tblCellMar>
        </w:tblPrEx>
        <w:tc>
          <w:tcPr>
            <w:tcW w:w="4536" w:type="dxa"/>
          </w:tcPr>
          <w:p w14:paraId="20D34BB0">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 xml:space="preserve">地址： </w:t>
            </w:r>
          </w:p>
        </w:tc>
        <w:tc>
          <w:tcPr>
            <w:tcW w:w="4182" w:type="dxa"/>
          </w:tcPr>
          <w:p w14:paraId="55631E11">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地址：</w:t>
            </w:r>
          </w:p>
        </w:tc>
      </w:tr>
      <w:tr w14:paraId="25F96F48">
        <w:tblPrEx>
          <w:tblCellMar>
            <w:top w:w="0" w:type="dxa"/>
            <w:left w:w="108" w:type="dxa"/>
            <w:bottom w:w="0" w:type="dxa"/>
            <w:right w:w="108" w:type="dxa"/>
          </w:tblCellMar>
        </w:tblPrEx>
        <w:tc>
          <w:tcPr>
            <w:tcW w:w="4536" w:type="dxa"/>
          </w:tcPr>
          <w:p w14:paraId="218558D7">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邮编：</w:t>
            </w:r>
          </w:p>
        </w:tc>
        <w:tc>
          <w:tcPr>
            <w:tcW w:w="4182" w:type="dxa"/>
          </w:tcPr>
          <w:p w14:paraId="05FBA1C8">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邮编：</w:t>
            </w:r>
          </w:p>
        </w:tc>
      </w:tr>
      <w:tr w14:paraId="4B87E58E">
        <w:tblPrEx>
          <w:tblCellMar>
            <w:top w:w="0" w:type="dxa"/>
            <w:left w:w="108" w:type="dxa"/>
            <w:bottom w:w="0" w:type="dxa"/>
            <w:right w:w="108" w:type="dxa"/>
          </w:tblCellMar>
        </w:tblPrEx>
        <w:tc>
          <w:tcPr>
            <w:tcW w:w="4536" w:type="dxa"/>
          </w:tcPr>
          <w:p w14:paraId="40F1A381">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联系人：</w:t>
            </w:r>
          </w:p>
        </w:tc>
        <w:tc>
          <w:tcPr>
            <w:tcW w:w="4182" w:type="dxa"/>
          </w:tcPr>
          <w:p w14:paraId="46C0425D">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联系人：</w:t>
            </w:r>
          </w:p>
        </w:tc>
      </w:tr>
      <w:tr w14:paraId="381B33F3">
        <w:tblPrEx>
          <w:tblCellMar>
            <w:top w:w="0" w:type="dxa"/>
            <w:left w:w="108" w:type="dxa"/>
            <w:bottom w:w="0" w:type="dxa"/>
            <w:right w:w="108" w:type="dxa"/>
          </w:tblCellMar>
        </w:tblPrEx>
        <w:tc>
          <w:tcPr>
            <w:tcW w:w="4536" w:type="dxa"/>
          </w:tcPr>
          <w:p w14:paraId="505A42CD">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电话：</w:t>
            </w:r>
          </w:p>
        </w:tc>
        <w:tc>
          <w:tcPr>
            <w:tcW w:w="4182" w:type="dxa"/>
          </w:tcPr>
          <w:p w14:paraId="56CCA6DC">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电话：</w:t>
            </w:r>
          </w:p>
        </w:tc>
      </w:tr>
      <w:tr w14:paraId="58A222E4">
        <w:tblPrEx>
          <w:tblCellMar>
            <w:top w:w="0" w:type="dxa"/>
            <w:left w:w="108" w:type="dxa"/>
            <w:bottom w:w="0" w:type="dxa"/>
            <w:right w:w="108" w:type="dxa"/>
          </w:tblCellMar>
        </w:tblPrEx>
        <w:tc>
          <w:tcPr>
            <w:tcW w:w="4536" w:type="dxa"/>
          </w:tcPr>
          <w:p w14:paraId="7F302B70">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传真：</w:t>
            </w:r>
          </w:p>
        </w:tc>
        <w:tc>
          <w:tcPr>
            <w:tcW w:w="4182" w:type="dxa"/>
          </w:tcPr>
          <w:p w14:paraId="5787526C">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传真：</w:t>
            </w:r>
          </w:p>
        </w:tc>
      </w:tr>
    </w:tbl>
    <w:p w14:paraId="47BBF55D">
      <w:pPr>
        <w:adjustRightInd w:val="0"/>
        <w:snapToGrid w:val="0"/>
        <w:spacing w:line="500" w:lineRule="exact"/>
        <w:rPr>
          <w:rFonts w:hint="eastAsia" w:asciiTheme="minorEastAsia" w:hAnsiTheme="minorEastAsia" w:eastAsiaTheme="minorEastAsia" w:cstheme="minorEastAsia"/>
          <w:color w:val="000000"/>
          <w:szCs w:val="21"/>
        </w:rPr>
      </w:pPr>
    </w:p>
    <w:p w14:paraId="55141D37">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556C76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3A32D3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78360D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52AEC8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515418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0B41FA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166200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646CF0C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364D00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0FEDB85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28ECDC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ascii="Times New Roman" w:hAnsi="Times New Roman" w:cs="Times New Roman" w:eastAsiaTheme="minorEastAsia"/>
          <w:b/>
          <w:sz w:val="28"/>
        </w:rPr>
      </w:pPr>
    </w:p>
    <w:p w14:paraId="61E75466">
      <w:pPr>
        <w:spacing w:line="520" w:lineRule="exact"/>
        <w:jc w:val="center"/>
        <w:outlineLvl w:val="0"/>
        <w:rPr>
          <w:rFonts w:ascii="方正小标宋简体" w:hAnsi="宋体" w:eastAsia="方正小标宋简体"/>
          <w:bCs/>
          <w:sz w:val="44"/>
          <w:szCs w:val="44"/>
        </w:rPr>
      </w:pPr>
      <w:r>
        <w:rPr>
          <w:rFonts w:hint="eastAsia" w:ascii="方正小标宋简体" w:hAnsi="宋体" w:eastAsia="方正小标宋简体"/>
          <w:bCs/>
          <w:sz w:val="44"/>
          <w:szCs w:val="44"/>
        </w:rPr>
        <w:t xml:space="preserve">廉  </w:t>
      </w:r>
      <w:r>
        <w:rPr>
          <w:rFonts w:hint="eastAsia" w:ascii="方正小标宋简体" w:hAnsi="宋体" w:eastAsia="方正小标宋简体"/>
          <w:bCs/>
          <w:sz w:val="44"/>
          <w:szCs w:val="44"/>
          <w:lang w:val="en-US" w:eastAsia="zh-CN"/>
        </w:rPr>
        <w:t>洁</w:t>
      </w:r>
      <w:r>
        <w:rPr>
          <w:rFonts w:hint="eastAsia" w:ascii="方正小标宋简体" w:hAnsi="宋体" w:eastAsia="方正小标宋简体"/>
          <w:bCs/>
          <w:sz w:val="44"/>
          <w:szCs w:val="44"/>
        </w:rPr>
        <w:t xml:space="preserve">  协  议</w:t>
      </w:r>
    </w:p>
    <w:p w14:paraId="7F18AA5A">
      <w:pPr>
        <w:spacing w:line="420" w:lineRule="exact"/>
        <w:ind w:firstLine="420" w:firstLineChars="200"/>
        <w:rPr>
          <w:rFonts w:hAnsi="宋体"/>
          <w:szCs w:val="24"/>
        </w:rPr>
      </w:pPr>
    </w:p>
    <w:p w14:paraId="5A70D3AD">
      <w:pPr>
        <w:spacing w:line="440" w:lineRule="exact"/>
        <w:ind w:firstLine="420" w:firstLineChars="200"/>
        <w:rPr>
          <w:rFonts w:hint="default" w:hAnsi="宋体"/>
          <w:szCs w:val="24"/>
          <w:lang w:val="en-US"/>
        </w:rPr>
      </w:pPr>
      <w:r>
        <w:rPr>
          <w:rFonts w:hint="eastAsia" w:hAnsi="宋体"/>
          <w:szCs w:val="24"/>
        </w:rPr>
        <w:t>甲方：</w:t>
      </w:r>
      <w:r>
        <w:rPr>
          <w:rFonts w:hint="eastAsia" w:hAnsi="宋体" w:cs="@仿宋_GB2312"/>
          <w:szCs w:val="20"/>
          <w:u w:val="single"/>
          <w:lang w:val="en-US" w:eastAsia="zh-CN"/>
        </w:rPr>
        <w:t xml:space="preserve">                        </w:t>
      </w:r>
    </w:p>
    <w:p w14:paraId="1F0157D2">
      <w:pPr>
        <w:spacing w:line="440" w:lineRule="exact"/>
        <w:ind w:firstLine="420" w:firstLineChars="200"/>
        <w:rPr>
          <w:rFonts w:hint="default" w:hAnsi="宋体" w:eastAsia="宋体"/>
          <w:szCs w:val="24"/>
          <w:u w:val="single"/>
          <w:lang w:val="en-US" w:eastAsia="zh-CN"/>
        </w:rPr>
      </w:pPr>
      <w:r>
        <w:rPr>
          <w:rFonts w:hint="eastAsia" w:hAnsi="宋体"/>
          <w:szCs w:val="24"/>
        </w:rPr>
        <w:t>乙方：</w:t>
      </w:r>
      <w:r>
        <w:rPr>
          <w:rFonts w:hint="eastAsia" w:hAnsi="宋体" w:cs="@仿宋_GB2312"/>
          <w:szCs w:val="20"/>
          <w:u w:val="single"/>
          <w:lang w:val="en-US" w:eastAsia="zh-CN"/>
        </w:rPr>
        <w:t xml:space="preserve">                        </w:t>
      </w:r>
    </w:p>
    <w:p w14:paraId="755B089B">
      <w:pPr>
        <w:spacing w:line="440" w:lineRule="exact"/>
        <w:ind w:firstLine="420" w:firstLineChars="200"/>
        <w:rPr>
          <w:rFonts w:hAnsi="宋体"/>
          <w:szCs w:val="24"/>
        </w:rPr>
      </w:pPr>
    </w:p>
    <w:p w14:paraId="641ECB13">
      <w:pPr>
        <w:spacing w:line="440" w:lineRule="exact"/>
        <w:ind w:firstLine="420" w:firstLineChars="200"/>
        <w:rPr>
          <w:rFonts w:hAnsi="宋体"/>
          <w:szCs w:val="24"/>
        </w:rPr>
      </w:pPr>
      <w:r>
        <w:rPr>
          <w:rFonts w:hint="eastAsia" w:hAnsi="宋体"/>
          <w:szCs w:val="24"/>
        </w:rPr>
        <w:t>为进一步完善监督制约机制，防止发生各种牟取不正当利益的违法违纪行为，促进双方诚信经营、廉洁从业，防范商业贿赂，保护国家、集体和当事人的合法权益，根据国家有关法律法规和省、市</w:t>
      </w:r>
      <w:r>
        <w:rPr>
          <w:rFonts w:hint="eastAsia" w:hAnsi="宋体"/>
          <w:szCs w:val="24"/>
          <w:lang w:val="en-US" w:eastAsia="zh-CN"/>
        </w:rPr>
        <w:t>有关</w:t>
      </w:r>
      <w:r>
        <w:rPr>
          <w:rFonts w:hint="eastAsia" w:hAnsi="宋体"/>
          <w:szCs w:val="24"/>
        </w:rPr>
        <w:t>规定，甲乙双方自愿签订本廉</w:t>
      </w:r>
      <w:r>
        <w:rPr>
          <w:rFonts w:hint="eastAsia" w:hAnsi="宋体"/>
          <w:szCs w:val="24"/>
          <w:lang w:val="en-US" w:eastAsia="zh-CN"/>
        </w:rPr>
        <w:t>洁</w:t>
      </w:r>
      <w:r>
        <w:rPr>
          <w:rFonts w:hint="eastAsia" w:hAnsi="宋体"/>
          <w:szCs w:val="24"/>
        </w:rPr>
        <w:t>协议，共同遵照执行。</w:t>
      </w:r>
    </w:p>
    <w:p w14:paraId="5A183878">
      <w:pPr>
        <w:spacing w:line="440" w:lineRule="exact"/>
        <w:ind w:firstLine="422" w:firstLineChars="200"/>
        <w:rPr>
          <w:rFonts w:hAnsi="宋体"/>
          <w:szCs w:val="24"/>
        </w:rPr>
      </w:pPr>
      <w:r>
        <w:rPr>
          <w:rFonts w:hint="eastAsia" w:hAnsi="宋体"/>
          <w:b/>
          <w:szCs w:val="24"/>
        </w:rPr>
        <w:t>第一条</w:t>
      </w:r>
      <w:r>
        <w:rPr>
          <w:rFonts w:hint="eastAsia" w:hAnsi="宋体"/>
          <w:szCs w:val="24"/>
        </w:rPr>
        <w:t xml:space="preserve">  甲乙双方的权利和义务</w:t>
      </w:r>
    </w:p>
    <w:p w14:paraId="5292898E">
      <w:pPr>
        <w:spacing w:line="440" w:lineRule="exact"/>
        <w:ind w:firstLine="420" w:firstLineChars="200"/>
        <w:rPr>
          <w:rFonts w:hAnsi="宋体"/>
          <w:szCs w:val="24"/>
        </w:rPr>
      </w:pPr>
      <w:r>
        <w:rPr>
          <w:rFonts w:hint="eastAsia" w:hAnsi="宋体"/>
          <w:szCs w:val="24"/>
        </w:rPr>
        <w:t>（一）甲乙双方自觉遵守《中华人民共和国反不正当竞争法》、最高人民检察院、最高人民法院《关于办理受贿刑事案件适用法律若干问题的意见》、国家工商行政管理局《关于禁止商业贿赂行为的暂行规定》及相关法律法规和廉</w:t>
      </w:r>
      <w:r>
        <w:rPr>
          <w:rFonts w:hint="eastAsia" w:hAnsi="宋体"/>
          <w:szCs w:val="24"/>
          <w:lang w:val="en-US" w:eastAsia="zh-CN"/>
        </w:rPr>
        <w:t>洁</w:t>
      </w:r>
      <w:r>
        <w:rPr>
          <w:rFonts w:hint="eastAsia" w:hAnsi="宋体"/>
          <w:szCs w:val="24"/>
        </w:rPr>
        <w:t>建设的规定。</w:t>
      </w:r>
    </w:p>
    <w:p w14:paraId="199469D0">
      <w:pPr>
        <w:spacing w:line="440" w:lineRule="exact"/>
        <w:ind w:firstLine="420" w:firstLineChars="200"/>
        <w:rPr>
          <w:rFonts w:hAnsi="宋体"/>
          <w:szCs w:val="24"/>
        </w:rPr>
      </w:pPr>
      <w:r>
        <w:rPr>
          <w:rFonts w:hint="eastAsia" w:hAnsi="宋体"/>
          <w:szCs w:val="24"/>
        </w:rPr>
        <w:t>（二）严格执行合同的要求，自觉履行合同约定的相关义务。</w:t>
      </w:r>
    </w:p>
    <w:p w14:paraId="0222E11A">
      <w:pPr>
        <w:spacing w:line="440" w:lineRule="exact"/>
        <w:ind w:firstLine="420" w:firstLineChars="200"/>
        <w:rPr>
          <w:rFonts w:hAnsi="宋体"/>
          <w:szCs w:val="24"/>
        </w:rPr>
      </w:pPr>
      <w:r>
        <w:rPr>
          <w:rFonts w:hint="eastAsia" w:hAnsi="宋体"/>
          <w:szCs w:val="24"/>
        </w:rPr>
        <w:t>（三）在业务活动中坚持公开、公正、诚信、透明的原则，不得损害国家、集体利益。</w:t>
      </w:r>
    </w:p>
    <w:p w14:paraId="3C8A5B4E">
      <w:pPr>
        <w:spacing w:line="440" w:lineRule="exact"/>
        <w:ind w:firstLine="420" w:firstLineChars="200"/>
        <w:rPr>
          <w:rFonts w:hAnsi="宋体"/>
          <w:szCs w:val="24"/>
        </w:rPr>
      </w:pPr>
      <w:r>
        <w:rPr>
          <w:rFonts w:hint="eastAsia" w:hAnsi="宋体"/>
          <w:szCs w:val="24"/>
        </w:rPr>
        <w:t>（四）建立健全廉</w:t>
      </w:r>
      <w:r>
        <w:rPr>
          <w:rFonts w:hint="eastAsia" w:hAnsi="宋体"/>
          <w:szCs w:val="24"/>
          <w:lang w:val="en-US" w:eastAsia="zh-CN"/>
        </w:rPr>
        <w:t>洁</w:t>
      </w:r>
      <w:r>
        <w:rPr>
          <w:rFonts w:hint="eastAsia" w:hAnsi="宋体"/>
          <w:szCs w:val="24"/>
        </w:rPr>
        <w:t>制度，开展廉</w:t>
      </w:r>
      <w:r>
        <w:rPr>
          <w:rFonts w:hint="eastAsia" w:hAnsi="宋体"/>
          <w:szCs w:val="24"/>
          <w:lang w:val="en-US" w:eastAsia="zh-CN"/>
        </w:rPr>
        <w:t>洁</w:t>
      </w:r>
      <w:r>
        <w:rPr>
          <w:rFonts w:hint="eastAsia" w:hAnsi="宋体"/>
          <w:szCs w:val="24"/>
        </w:rPr>
        <w:t>教育，公布举报电话，监督并认真查处违法违纪行为。</w:t>
      </w:r>
    </w:p>
    <w:p w14:paraId="30F9F0B6">
      <w:pPr>
        <w:spacing w:line="440" w:lineRule="exact"/>
        <w:ind w:firstLine="420" w:firstLineChars="200"/>
        <w:rPr>
          <w:rFonts w:hAnsi="宋体"/>
          <w:szCs w:val="24"/>
        </w:rPr>
      </w:pPr>
      <w:r>
        <w:rPr>
          <w:rFonts w:hint="eastAsia" w:hAnsi="宋体"/>
          <w:szCs w:val="24"/>
        </w:rPr>
        <w:t>（五）发现对方在业务活动中有违反廉</w:t>
      </w:r>
      <w:r>
        <w:rPr>
          <w:rFonts w:hint="eastAsia" w:hAnsi="宋体"/>
          <w:szCs w:val="24"/>
          <w:lang w:val="en-US" w:eastAsia="zh-CN"/>
        </w:rPr>
        <w:t>洁</w:t>
      </w:r>
      <w:r>
        <w:rPr>
          <w:rFonts w:hint="eastAsia" w:hAnsi="宋体"/>
          <w:szCs w:val="24"/>
        </w:rPr>
        <w:t>规定的行为，应及时提醒对方纠正。情节严重的，应向其上级有关部门举报、建议给予处理，并有权要求告知处理结果。</w:t>
      </w:r>
    </w:p>
    <w:p w14:paraId="06F93398">
      <w:pPr>
        <w:spacing w:line="440" w:lineRule="exact"/>
        <w:ind w:firstLine="422" w:firstLineChars="200"/>
        <w:rPr>
          <w:rFonts w:hAnsi="宋体"/>
          <w:szCs w:val="24"/>
        </w:rPr>
      </w:pPr>
      <w:r>
        <w:rPr>
          <w:rFonts w:hint="eastAsia" w:hAnsi="宋体"/>
          <w:b/>
          <w:szCs w:val="24"/>
        </w:rPr>
        <w:t>第二条</w:t>
      </w:r>
      <w:r>
        <w:rPr>
          <w:rFonts w:hint="eastAsia" w:hAnsi="宋体"/>
          <w:szCs w:val="24"/>
        </w:rPr>
        <w:t xml:space="preserve">  甲方的义务</w:t>
      </w:r>
    </w:p>
    <w:p w14:paraId="13527B2F">
      <w:pPr>
        <w:spacing w:line="440" w:lineRule="exact"/>
        <w:ind w:firstLine="420" w:firstLineChars="200"/>
        <w:rPr>
          <w:rFonts w:hAnsi="宋体"/>
          <w:szCs w:val="24"/>
        </w:rPr>
      </w:pPr>
      <w:r>
        <w:rPr>
          <w:rFonts w:hint="eastAsia" w:hAnsi="宋体"/>
          <w:szCs w:val="24"/>
        </w:rPr>
        <w:t>（一）甲方及其工作人员不得索要或接受乙方的礼金、有价证券和贵重物品，不得在乙方报销任何应由甲方单位或个人支付的费用等。</w:t>
      </w:r>
    </w:p>
    <w:p w14:paraId="7818A109">
      <w:pPr>
        <w:spacing w:line="440" w:lineRule="exact"/>
        <w:ind w:firstLine="420" w:firstLineChars="200"/>
        <w:rPr>
          <w:rFonts w:hAnsi="宋体"/>
          <w:szCs w:val="24"/>
        </w:rPr>
      </w:pPr>
      <w:r>
        <w:rPr>
          <w:rFonts w:hint="eastAsia" w:hAnsi="宋体"/>
          <w:szCs w:val="24"/>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0485152">
      <w:pPr>
        <w:spacing w:line="440" w:lineRule="exact"/>
        <w:ind w:firstLine="420" w:firstLineChars="200"/>
        <w:rPr>
          <w:rFonts w:hAnsi="宋体"/>
          <w:szCs w:val="24"/>
        </w:rPr>
      </w:pPr>
      <w:r>
        <w:rPr>
          <w:rFonts w:hint="eastAsia" w:hAnsi="宋体"/>
          <w:szCs w:val="24"/>
        </w:rPr>
        <w:t>（三）甲方及其工作人员不得要求或者接受乙方为其住房装修、婚丧嫁娶活动、配偶子女工作安排以及出国出境、旅游等提供方便等。</w:t>
      </w:r>
    </w:p>
    <w:p w14:paraId="11C892BB">
      <w:pPr>
        <w:spacing w:line="440" w:lineRule="exact"/>
        <w:ind w:firstLine="420" w:firstLineChars="200"/>
        <w:rPr>
          <w:rFonts w:hAnsi="宋体"/>
          <w:szCs w:val="24"/>
        </w:rPr>
      </w:pPr>
      <w:r>
        <w:rPr>
          <w:rFonts w:hint="eastAsia" w:hAnsi="宋体"/>
          <w:szCs w:val="24"/>
        </w:rPr>
        <w:t>（四）甲方工作人员不得在乙方有关联的企业兼职，不得向乙方介绍家属或者亲友从事与甲方业务有关的经济活动。</w:t>
      </w:r>
    </w:p>
    <w:p w14:paraId="7B8F0186">
      <w:pPr>
        <w:spacing w:line="440" w:lineRule="exact"/>
        <w:ind w:firstLine="420" w:firstLineChars="200"/>
        <w:rPr>
          <w:rFonts w:hAnsi="宋体"/>
          <w:szCs w:val="24"/>
        </w:rPr>
      </w:pPr>
      <w:r>
        <w:rPr>
          <w:rFonts w:hint="eastAsia" w:hAnsi="宋体"/>
          <w:szCs w:val="24"/>
        </w:rPr>
        <w:t>（五）甲方工作人员不得以明显低于市场的价格向乙方购买房屋、汽车等物品；不得以明显高于市场的价格向乙方出售房屋、汽车等物品；不得以其他交易形式非法收受请托人财物。</w:t>
      </w:r>
    </w:p>
    <w:p w14:paraId="0697F3FB">
      <w:pPr>
        <w:spacing w:line="440" w:lineRule="exact"/>
        <w:ind w:firstLine="420" w:firstLineChars="200"/>
        <w:rPr>
          <w:rFonts w:hAnsi="宋体"/>
          <w:szCs w:val="24"/>
        </w:rPr>
      </w:pPr>
      <w:r>
        <w:rPr>
          <w:rFonts w:hint="eastAsia" w:hAnsi="宋体"/>
          <w:szCs w:val="24"/>
        </w:rPr>
        <w:t>（六）甲方工作人员不得利用职务之便收受乙方以回扣、手续费、加班费、咨询费、劳务费、协调费等各种名义给予或赠送的钱物。</w:t>
      </w:r>
    </w:p>
    <w:p w14:paraId="6993C64C">
      <w:pPr>
        <w:spacing w:line="440" w:lineRule="exact"/>
        <w:ind w:firstLine="420" w:firstLineChars="200"/>
        <w:rPr>
          <w:rFonts w:hAnsi="宋体"/>
          <w:szCs w:val="24"/>
        </w:rPr>
      </w:pPr>
      <w:r>
        <w:rPr>
          <w:rFonts w:hint="eastAsia" w:hAnsi="宋体"/>
          <w:szCs w:val="24"/>
        </w:rPr>
        <w:t>（七）甲方工作人员不得接受乙方给予或赠送的干股或红利。</w:t>
      </w:r>
    </w:p>
    <w:p w14:paraId="545F802F">
      <w:pPr>
        <w:spacing w:line="440" w:lineRule="exact"/>
        <w:ind w:firstLine="420" w:firstLineChars="200"/>
        <w:rPr>
          <w:rFonts w:hAnsi="宋体"/>
          <w:szCs w:val="24"/>
        </w:rPr>
      </w:pPr>
      <w:r>
        <w:rPr>
          <w:rFonts w:hint="eastAsia" w:hAnsi="宋体"/>
          <w:szCs w:val="24"/>
        </w:rPr>
        <w:t>（八）甲方任何人不得以个人的名义向乙方推荐设备、部件等供货商以及其他合作单位。</w:t>
      </w:r>
    </w:p>
    <w:p w14:paraId="2E7ED77D">
      <w:pPr>
        <w:spacing w:line="440" w:lineRule="exact"/>
        <w:ind w:firstLine="422" w:firstLineChars="200"/>
        <w:rPr>
          <w:rFonts w:hAnsi="宋体"/>
          <w:szCs w:val="24"/>
        </w:rPr>
      </w:pPr>
      <w:r>
        <w:rPr>
          <w:rFonts w:hint="eastAsia" w:hAnsi="宋体"/>
          <w:b/>
          <w:szCs w:val="24"/>
        </w:rPr>
        <w:t xml:space="preserve">第三条  </w:t>
      </w:r>
      <w:r>
        <w:rPr>
          <w:rFonts w:hint="eastAsia" w:hAnsi="宋体"/>
          <w:szCs w:val="24"/>
        </w:rPr>
        <w:t>乙方的义务</w:t>
      </w:r>
    </w:p>
    <w:p w14:paraId="271228C6">
      <w:pPr>
        <w:spacing w:line="440" w:lineRule="exact"/>
        <w:ind w:firstLine="420" w:firstLineChars="200"/>
        <w:rPr>
          <w:rFonts w:hAnsi="宋体"/>
          <w:szCs w:val="24"/>
        </w:rPr>
      </w:pPr>
      <w:r>
        <w:rPr>
          <w:rFonts w:hint="eastAsia" w:hAnsi="宋体"/>
          <w:szCs w:val="24"/>
        </w:rPr>
        <w:t>（一）乙方不得以任何理由向甲方及其工作人员行贿或馈赠礼金、有价证券、贵重礼品。</w:t>
      </w:r>
    </w:p>
    <w:p w14:paraId="6D79A16C">
      <w:pPr>
        <w:spacing w:line="440" w:lineRule="exact"/>
        <w:ind w:firstLine="420" w:firstLineChars="200"/>
        <w:rPr>
          <w:rFonts w:hAnsi="宋体"/>
          <w:szCs w:val="24"/>
        </w:rPr>
      </w:pPr>
      <w:r>
        <w:rPr>
          <w:rFonts w:hint="eastAsia" w:hAnsi="宋体"/>
          <w:szCs w:val="24"/>
        </w:rPr>
        <w:t>（二)乙方不得以任何名义为甲方及其工作人员报销应由甲方单位或个人支付的任何费用。</w:t>
      </w:r>
    </w:p>
    <w:p w14:paraId="59822BD7">
      <w:pPr>
        <w:spacing w:line="440" w:lineRule="exact"/>
        <w:ind w:firstLine="420" w:firstLineChars="200"/>
        <w:rPr>
          <w:rFonts w:hAnsi="宋体"/>
          <w:szCs w:val="24"/>
        </w:rPr>
      </w:pPr>
      <w:r>
        <w:rPr>
          <w:rFonts w:hint="eastAsia" w:hAnsi="宋体"/>
          <w:szCs w:val="24"/>
        </w:rPr>
        <w:t>（三）乙方不得以任何理由安排甲方工作人员参加可能影响相关业务公开、公正、公平性的宴请及娱乐活动。</w:t>
      </w:r>
    </w:p>
    <w:p w14:paraId="41F6ED82">
      <w:pPr>
        <w:spacing w:line="440" w:lineRule="exact"/>
        <w:ind w:firstLine="420" w:firstLineChars="200"/>
        <w:rPr>
          <w:rFonts w:hAnsi="宋体"/>
          <w:szCs w:val="24"/>
        </w:rPr>
      </w:pPr>
      <w:r>
        <w:rPr>
          <w:rFonts w:hint="eastAsia" w:hAnsi="宋体"/>
          <w:szCs w:val="24"/>
        </w:rPr>
        <w:t>（四）乙方不得为甲方单位和个人购置或提供通讯工具和高档办公用品等物品，也不得为甲方提供与工作无关的房屋、汽车等。</w:t>
      </w:r>
    </w:p>
    <w:p w14:paraId="69AC9D95">
      <w:pPr>
        <w:spacing w:line="440" w:lineRule="exact"/>
        <w:ind w:firstLine="420" w:firstLineChars="200"/>
        <w:rPr>
          <w:rFonts w:hAnsi="宋体"/>
          <w:szCs w:val="24"/>
        </w:rPr>
      </w:pPr>
      <w:r>
        <w:rPr>
          <w:rFonts w:hint="eastAsia" w:hAnsi="宋体"/>
          <w:szCs w:val="24"/>
        </w:rPr>
        <w:t>（五）乙方不得与甲方工作人员就合同中的质量、数量、价格、工程量、验收等条款进行私下商谈或者达成默契。</w:t>
      </w:r>
    </w:p>
    <w:p w14:paraId="2DE277A0">
      <w:pPr>
        <w:spacing w:line="440" w:lineRule="exact"/>
        <w:ind w:firstLine="420" w:firstLineChars="200"/>
        <w:rPr>
          <w:rFonts w:hAnsi="宋体"/>
          <w:szCs w:val="24"/>
        </w:rPr>
      </w:pPr>
      <w:r>
        <w:rPr>
          <w:rFonts w:hint="eastAsia" w:hAnsi="宋体"/>
          <w:szCs w:val="24"/>
        </w:rPr>
        <w:t>（六）乙方不得以回扣、手续费、加班费、咨询费、劳务费等各种名义向甲方工作人员给予或赠送钱物。</w:t>
      </w:r>
    </w:p>
    <w:p w14:paraId="00D2D78F">
      <w:pPr>
        <w:spacing w:line="440" w:lineRule="exact"/>
        <w:ind w:firstLine="420" w:firstLineChars="200"/>
        <w:rPr>
          <w:rFonts w:hAnsi="宋体"/>
          <w:szCs w:val="24"/>
        </w:rPr>
      </w:pPr>
      <w:r>
        <w:rPr>
          <w:rFonts w:hint="eastAsia" w:hAnsi="宋体"/>
          <w:szCs w:val="24"/>
        </w:rPr>
        <w:t>（七）乙方不得向甲方工作人员提供干股或红利。</w:t>
      </w:r>
    </w:p>
    <w:p w14:paraId="012EF35D">
      <w:pPr>
        <w:spacing w:line="440" w:lineRule="exact"/>
        <w:ind w:firstLine="420" w:firstLineChars="200"/>
        <w:rPr>
          <w:rFonts w:hAnsi="宋体"/>
          <w:szCs w:val="24"/>
        </w:rPr>
      </w:pPr>
      <w:r>
        <w:rPr>
          <w:rFonts w:hint="eastAsia" w:hAnsi="宋体"/>
          <w:szCs w:val="24"/>
        </w:rPr>
        <w:t>（八）乙方须按合肥文旅博览集团有限公司纪委要求开展相关工作。</w:t>
      </w:r>
    </w:p>
    <w:p w14:paraId="7EED4DA0">
      <w:pPr>
        <w:spacing w:line="440" w:lineRule="exact"/>
        <w:ind w:firstLine="422" w:firstLineChars="200"/>
        <w:rPr>
          <w:rFonts w:hAnsi="宋体"/>
          <w:szCs w:val="24"/>
        </w:rPr>
      </w:pPr>
      <w:r>
        <w:rPr>
          <w:rFonts w:hint="eastAsia" w:hAnsi="宋体"/>
          <w:b/>
          <w:szCs w:val="24"/>
        </w:rPr>
        <w:t>第四条</w:t>
      </w:r>
      <w:r>
        <w:rPr>
          <w:rFonts w:hint="eastAsia" w:hAnsi="宋体"/>
          <w:szCs w:val="24"/>
        </w:rPr>
        <w:t xml:space="preserve">  违约责任</w:t>
      </w:r>
    </w:p>
    <w:p w14:paraId="5CF16012">
      <w:pPr>
        <w:spacing w:line="440" w:lineRule="exact"/>
        <w:ind w:firstLine="420" w:firstLineChars="200"/>
        <w:rPr>
          <w:rFonts w:hint="eastAsia" w:hAnsi="宋体"/>
          <w:szCs w:val="24"/>
        </w:rPr>
      </w:pPr>
      <w:r>
        <w:rPr>
          <w:rFonts w:hint="eastAsia" w:hAnsi="宋体"/>
          <w:szCs w:val="24"/>
        </w:rPr>
        <w:t>（一）甲方及其工作人员违反本协议第一、二条规定。甲方按管理权限，对相关责任人依据有关规定给予党纪、政纪处分或组织处理；涉嫌犯罪的，移交司法机关追究刑事责任。</w:t>
      </w:r>
    </w:p>
    <w:p w14:paraId="055C5CA6">
      <w:pPr>
        <w:spacing w:line="440" w:lineRule="exact"/>
        <w:ind w:firstLine="480" w:firstLineChars="200"/>
        <w:rPr>
          <w:rFonts w:hAnsi="宋体"/>
          <w:szCs w:val="24"/>
        </w:rPr>
      </w:pPr>
      <w:r>
        <w:rPr>
          <w:rFonts w:hint="eastAsia" w:hAnsi="宋体" w:eastAsia="宋体"/>
          <w:sz w:val="24"/>
          <w:szCs w:val="24"/>
        </w:rPr>
        <w:t>投诉联系</w:t>
      </w:r>
      <w:r>
        <w:rPr>
          <w:rFonts w:hint="eastAsia" w:hAnsi="宋体" w:eastAsia="宋体"/>
          <w:sz w:val="24"/>
          <w:szCs w:val="24"/>
          <w:lang w:eastAsia="zh-CN"/>
        </w:rPr>
        <w:t>部门</w:t>
      </w:r>
      <w:r>
        <w:rPr>
          <w:rFonts w:hint="eastAsia" w:hAnsi="宋体" w:eastAsia="宋体"/>
          <w:sz w:val="24"/>
          <w:szCs w:val="24"/>
        </w:rPr>
        <w:t>：合肥政文国际会展管理有限公司</w:t>
      </w:r>
      <w:r>
        <w:rPr>
          <w:rFonts w:hint="eastAsia" w:hAnsi="宋体"/>
          <w:sz w:val="24"/>
          <w:szCs w:val="24"/>
          <w:lang w:val="en-US" w:eastAsia="zh-CN"/>
        </w:rPr>
        <w:t>审计监督部</w:t>
      </w:r>
      <w:r>
        <w:rPr>
          <w:rFonts w:hint="eastAsia" w:hAnsi="宋体" w:eastAsia="宋体"/>
          <w:sz w:val="24"/>
          <w:szCs w:val="24"/>
        </w:rPr>
        <w:t>，联系电话：</w:t>
      </w:r>
      <w:r>
        <w:rPr>
          <w:rFonts w:hint="eastAsia" w:ascii="国标宋体" w:hAnsi="国标宋体" w:eastAsia="国标宋体" w:cs="国标宋体"/>
          <w:color w:val="auto"/>
          <w:sz w:val="24"/>
          <w:szCs w:val="24"/>
        </w:rPr>
        <w:t>0551-</w:t>
      </w:r>
      <w:r>
        <w:rPr>
          <w:rFonts w:hint="eastAsia" w:ascii="国标宋体" w:hAnsi="国标宋体" w:eastAsia="国标宋体" w:cs="国标宋体"/>
          <w:color w:val="auto"/>
          <w:sz w:val="24"/>
          <w:szCs w:val="24"/>
          <w:lang w:val="en-US" w:eastAsia="zh-CN"/>
        </w:rPr>
        <w:t>65790230、</w:t>
      </w:r>
      <w:r>
        <w:rPr>
          <w:rFonts w:hint="eastAsia" w:ascii="国标宋体" w:hAnsi="国标宋体" w:eastAsia="国标宋体" w:cs="国标宋体"/>
          <w:color w:val="auto"/>
          <w:sz w:val="24"/>
          <w:szCs w:val="24"/>
        </w:rPr>
        <w:t>65790135。</w:t>
      </w:r>
      <w:r>
        <w:rPr>
          <w:rFonts w:hint="eastAsia" w:hAnsi="宋体" w:eastAsia="宋体"/>
          <w:sz w:val="24"/>
          <w:szCs w:val="24"/>
        </w:rPr>
        <w:t>举报邮箱：</w:t>
      </w:r>
      <w:r>
        <w:rPr>
          <w:rFonts w:hint="eastAsia" w:ascii="国标宋体" w:hAnsi="国标宋体" w:eastAsia="国标宋体" w:cs="国标宋体"/>
          <w:color w:val="auto"/>
          <w:sz w:val="24"/>
          <w:szCs w:val="24"/>
        </w:rPr>
        <w:t>zwecc_DCS@163.com</w:t>
      </w:r>
      <w:r>
        <w:rPr>
          <w:rFonts w:hint="eastAsia" w:ascii="国标宋体" w:hAnsi="国标宋体" w:eastAsia="国标宋体" w:cs="国标宋体"/>
          <w:color w:val="auto"/>
          <w:sz w:val="24"/>
          <w:szCs w:val="24"/>
          <w:lang w:eastAsia="zh-CN"/>
        </w:rPr>
        <w:t>。</w:t>
      </w:r>
    </w:p>
    <w:p w14:paraId="7CE19911">
      <w:pPr>
        <w:spacing w:line="440" w:lineRule="exact"/>
        <w:ind w:firstLine="420" w:firstLineChars="200"/>
        <w:rPr>
          <w:rFonts w:hAnsi="宋体"/>
          <w:szCs w:val="24"/>
        </w:rPr>
      </w:pPr>
      <w:r>
        <w:rPr>
          <w:rFonts w:hint="eastAsia" w:hAnsi="宋体"/>
          <w:szCs w:val="24"/>
        </w:rPr>
        <w:t>（二）乙方及其工作人员违反本协议第一、三条规定。根据具体情节和造成的后果，甲方有权依据法律法规及合同约定对乙方采取以下一种或多种处理办法：</w:t>
      </w:r>
    </w:p>
    <w:p w14:paraId="13DE184B">
      <w:pPr>
        <w:spacing w:line="440" w:lineRule="exact"/>
        <w:ind w:firstLine="420" w:firstLineChars="200"/>
        <w:rPr>
          <w:rFonts w:hAnsi="宋体"/>
          <w:szCs w:val="24"/>
        </w:rPr>
      </w:pPr>
      <w:r>
        <w:rPr>
          <w:rFonts w:hint="eastAsia" w:hAnsi="宋体"/>
          <w:szCs w:val="24"/>
        </w:rPr>
        <w:t xml:space="preserve">1．向建设行政部门、招投标管理部门及乙方上级主管部门通报，建议作出相应处理； </w:t>
      </w:r>
    </w:p>
    <w:p w14:paraId="5AB4E3CA">
      <w:pPr>
        <w:spacing w:line="440" w:lineRule="exact"/>
        <w:ind w:firstLine="420" w:firstLineChars="200"/>
        <w:rPr>
          <w:rFonts w:hAnsi="宋体"/>
          <w:szCs w:val="24"/>
        </w:rPr>
      </w:pPr>
      <w:r>
        <w:rPr>
          <w:rFonts w:hint="eastAsia" w:hAnsi="宋体"/>
          <w:szCs w:val="24"/>
        </w:rPr>
        <w:t>2．甲方有权扣除乙方履约保证金全部或部分（视情节严重性而定）；</w:t>
      </w:r>
    </w:p>
    <w:p w14:paraId="6D7B4B2B">
      <w:pPr>
        <w:spacing w:line="440" w:lineRule="exact"/>
        <w:ind w:firstLine="420" w:firstLineChars="200"/>
        <w:rPr>
          <w:rFonts w:hAnsi="宋体"/>
          <w:szCs w:val="24"/>
        </w:rPr>
      </w:pPr>
      <w:r>
        <w:rPr>
          <w:rFonts w:hint="eastAsia" w:hAnsi="宋体"/>
          <w:szCs w:val="24"/>
        </w:rPr>
        <w:t>3．终止或解除双方已签订的包括（不限于）本合同在内的所有合同。</w:t>
      </w:r>
    </w:p>
    <w:p w14:paraId="0DC34E09">
      <w:pPr>
        <w:spacing w:line="440" w:lineRule="exact"/>
        <w:ind w:firstLine="420" w:firstLineChars="200"/>
        <w:rPr>
          <w:rFonts w:hAnsi="宋体"/>
          <w:szCs w:val="24"/>
        </w:rPr>
      </w:pPr>
      <w:r>
        <w:rPr>
          <w:rFonts w:hint="eastAsia" w:hAnsi="宋体"/>
          <w:szCs w:val="24"/>
        </w:rPr>
        <w:t>甲方作出的处理意见，乙方应无条件接受并承担给甲方造成的损失，全额返还通过不正当手段从甲方获取的非法所得，并承担相应的法律责任。</w:t>
      </w:r>
    </w:p>
    <w:p w14:paraId="6001DF2D">
      <w:pPr>
        <w:spacing w:line="440" w:lineRule="exact"/>
        <w:ind w:firstLine="422" w:firstLineChars="200"/>
        <w:rPr>
          <w:rFonts w:hAnsi="宋体"/>
          <w:szCs w:val="24"/>
        </w:rPr>
      </w:pPr>
      <w:r>
        <w:rPr>
          <w:rFonts w:hint="eastAsia" w:hAnsi="宋体"/>
          <w:b/>
          <w:szCs w:val="24"/>
        </w:rPr>
        <w:t>第五条</w:t>
      </w:r>
      <w:r>
        <w:rPr>
          <w:rFonts w:hint="eastAsia" w:hAnsi="宋体"/>
          <w:szCs w:val="24"/>
        </w:rPr>
        <w:t xml:space="preserve">  双方约定</w:t>
      </w:r>
    </w:p>
    <w:p w14:paraId="37074A37">
      <w:pPr>
        <w:spacing w:line="440" w:lineRule="exact"/>
        <w:ind w:firstLine="420" w:firstLineChars="200"/>
        <w:rPr>
          <w:rFonts w:hAnsi="宋体"/>
          <w:szCs w:val="24"/>
        </w:rPr>
      </w:pPr>
      <w:r>
        <w:rPr>
          <w:rFonts w:hint="eastAsia" w:hAnsi="宋体"/>
          <w:szCs w:val="24"/>
        </w:rPr>
        <w:t>本协议由双方或双方上级单位负责监督。可由甲方或甲方上级单位的纪检监察部门约请乙方或乙方上级单位的纪检监察部门对本协议履行情况进行检查，提出在本协议规定范围内的裁定意见。</w:t>
      </w:r>
    </w:p>
    <w:p w14:paraId="22FB06D0">
      <w:pPr>
        <w:spacing w:line="440" w:lineRule="exact"/>
        <w:ind w:firstLine="422" w:firstLineChars="200"/>
        <w:rPr>
          <w:rFonts w:hAnsi="宋体"/>
          <w:szCs w:val="24"/>
        </w:rPr>
      </w:pPr>
      <w:r>
        <w:rPr>
          <w:rFonts w:hint="eastAsia" w:hAnsi="宋体"/>
          <w:b/>
          <w:szCs w:val="24"/>
        </w:rPr>
        <w:t xml:space="preserve">第六条  </w:t>
      </w:r>
      <w:r>
        <w:rPr>
          <w:rFonts w:hint="eastAsia" w:hAnsi="宋体"/>
          <w:szCs w:val="24"/>
        </w:rPr>
        <w:t xml:space="preserve">本协议有效期为甲乙双方签署之日起至合同终止。  </w:t>
      </w:r>
    </w:p>
    <w:p w14:paraId="0364F4CF">
      <w:pPr>
        <w:spacing w:line="440" w:lineRule="exact"/>
        <w:ind w:firstLine="422" w:firstLineChars="200"/>
        <w:rPr>
          <w:rFonts w:hAnsi="宋体"/>
          <w:szCs w:val="24"/>
        </w:rPr>
      </w:pPr>
      <w:r>
        <w:rPr>
          <w:rFonts w:hint="eastAsia" w:hAnsi="宋体"/>
          <w:b/>
          <w:szCs w:val="24"/>
        </w:rPr>
        <w:t xml:space="preserve">第七条 </w:t>
      </w:r>
      <w:r>
        <w:rPr>
          <w:rFonts w:hint="eastAsia" w:hAnsi="宋体"/>
          <w:szCs w:val="24"/>
        </w:rPr>
        <w:t xml:space="preserve"> 本协议作为合同的附件，与合同具有同等法律效力。</w:t>
      </w:r>
    </w:p>
    <w:p w14:paraId="39D4060C">
      <w:pPr>
        <w:spacing w:line="440" w:lineRule="exact"/>
        <w:rPr>
          <w:rFonts w:hAnsi="宋体"/>
          <w:szCs w:val="24"/>
        </w:rPr>
      </w:pPr>
    </w:p>
    <w:p w14:paraId="3B2AF4E6">
      <w:pPr>
        <w:spacing w:line="440" w:lineRule="exact"/>
        <w:ind w:firstLine="420" w:firstLineChars="200"/>
        <w:rPr>
          <w:rFonts w:hAnsi="宋体"/>
          <w:szCs w:val="24"/>
        </w:rPr>
      </w:pPr>
      <w:r>
        <w:rPr>
          <w:rFonts w:hint="eastAsia" w:hAnsi="宋体"/>
          <w:szCs w:val="24"/>
        </w:rPr>
        <w:t>甲方（盖章）：                   乙方（盖章）：</w:t>
      </w:r>
    </w:p>
    <w:p w14:paraId="78F78CD3">
      <w:pPr>
        <w:spacing w:line="440" w:lineRule="exact"/>
        <w:ind w:firstLine="420" w:firstLineChars="200"/>
        <w:rPr>
          <w:rFonts w:hAnsi="宋体"/>
          <w:szCs w:val="24"/>
        </w:rPr>
      </w:pPr>
      <w:r>
        <w:rPr>
          <w:rFonts w:hint="eastAsia" w:hAnsi="宋体"/>
          <w:szCs w:val="24"/>
        </w:rPr>
        <w:t>法定代表人或</w:t>
      </w:r>
      <w:r>
        <w:rPr>
          <w:rFonts w:hint="eastAsia" w:hAnsi="宋体"/>
          <w:szCs w:val="24"/>
        </w:rPr>
        <w:tab/>
      </w:r>
      <w:r>
        <w:rPr>
          <w:rFonts w:hint="eastAsia" w:hAnsi="宋体"/>
          <w:szCs w:val="24"/>
        </w:rPr>
        <w:t xml:space="preserve">                    法定代表人或</w:t>
      </w:r>
    </w:p>
    <w:p w14:paraId="3E8FA47E">
      <w:pPr>
        <w:spacing w:line="440" w:lineRule="exact"/>
        <w:ind w:firstLine="420" w:firstLineChars="200"/>
        <w:rPr>
          <w:rFonts w:hAnsi="宋体"/>
          <w:szCs w:val="24"/>
        </w:rPr>
      </w:pPr>
      <w:r>
        <w:rPr>
          <w:rFonts w:hint="eastAsia" w:hAnsi="宋体"/>
          <w:szCs w:val="24"/>
        </w:rPr>
        <w:t>授权代表：   (职务)               授权代表：  （职务）</w:t>
      </w:r>
    </w:p>
    <w:p w14:paraId="2AFC2FAC">
      <w:pPr>
        <w:spacing w:line="440" w:lineRule="exact"/>
        <w:ind w:firstLine="420" w:firstLineChars="200"/>
        <w:rPr>
          <w:rFonts w:hAnsi="宋体"/>
          <w:szCs w:val="24"/>
        </w:rPr>
      </w:pPr>
      <w:r>
        <w:rPr>
          <w:rFonts w:hint="eastAsia" w:hAnsi="宋体"/>
          <w:szCs w:val="24"/>
        </w:rPr>
        <w:t>签字：                            签字：</w:t>
      </w:r>
    </w:p>
    <w:p w14:paraId="74B29E31">
      <w:pPr>
        <w:spacing w:line="440" w:lineRule="exact"/>
        <w:ind w:firstLine="420" w:firstLineChars="200"/>
        <w:rPr>
          <w:rFonts w:hAnsi="宋体"/>
          <w:szCs w:val="24"/>
        </w:rPr>
      </w:pPr>
    </w:p>
    <w:p w14:paraId="1860FF14">
      <w:pPr>
        <w:spacing w:line="440" w:lineRule="exact"/>
        <w:ind w:firstLine="420" w:firstLineChars="200"/>
        <w:rPr>
          <w:rFonts w:hAnsi="宋体"/>
          <w:szCs w:val="24"/>
        </w:rPr>
      </w:pPr>
    </w:p>
    <w:p w14:paraId="22FE13E1">
      <w:pPr>
        <w:spacing w:line="440" w:lineRule="exact"/>
        <w:ind w:firstLine="420" w:firstLineChars="200"/>
        <w:rPr>
          <w:rFonts w:hAnsi="宋体"/>
          <w:szCs w:val="24"/>
        </w:rPr>
      </w:pPr>
      <w:r>
        <w:rPr>
          <w:rFonts w:hint="eastAsia" w:hAnsi="宋体"/>
          <w:szCs w:val="24"/>
        </w:rPr>
        <w:t>廉</w:t>
      </w:r>
      <w:r>
        <w:rPr>
          <w:rFonts w:hint="eastAsia" w:hAnsi="宋体"/>
          <w:szCs w:val="24"/>
          <w:lang w:val="en-US" w:eastAsia="zh-CN"/>
        </w:rPr>
        <w:t>洁</w:t>
      </w:r>
      <w:r>
        <w:rPr>
          <w:rFonts w:hint="eastAsia" w:hAnsi="宋体"/>
          <w:szCs w:val="24"/>
        </w:rPr>
        <w:t>监督联系人                    廉</w:t>
      </w:r>
      <w:r>
        <w:rPr>
          <w:rFonts w:hint="eastAsia" w:hAnsi="宋体"/>
          <w:szCs w:val="24"/>
          <w:lang w:val="en-US" w:eastAsia="zh-CN"/>
        </w:rPr>
        <w:t>洁</w:t>
      </w:r>
      <w:r>
        <w:rPr>
          <w:rFonts w:hint="eastAsia" w:hAnsi="宋体"/>
          <w:szCs w:val="24"/>
        </w:rPr>
        <w:t>监督联系人</w:t>
      </w:r>
    </w:p>
    <w:p w14:paraId="5DB0BB98">
      <w:pPr>
        <w:spacing w:line="440" w:lineRule="exact"/>
        <w:ind w:firstLine="420" w:firstLineChars="200"/>
        <w:rPr>
          <w:rFonts w:hAnsi="宋体"/>
          <w:szCs w:val="24"/>
        </w:rPr>
      </w:pPr>
      <w:r>
        <w:rPr>
          <w:rFonts w:hint="eastAsia" w:hAnsi="宋体"/>
          <w:szCs w:val="24"/>
        </w:rPr>
        <w:t>签字：                            签字：</w:t>
      </w:r>
    </w:p>
    <w:p w14:paraId="6B874258">
      <w:pPr>
        <w:spacing w:line="440" w:lineRule="exact"/>
        <w:ind w:firstLine="420" w:firstLineChars="200"/>
        <w:rPr>
          <w:rFonts w:hAnsi="宋体"/>
          <w:szCs w:val="24"/>
        </w:rPr>
      </w:pPr>
      <w:r>
        <w:rPr>
          <w:rFonts w:hint="eastAsia" w:hAnsi="宋体"/>
          <w:szCs w:val="24"/>
        </w:rPr>
        <w:t>电话：0551-</w:t>
      </w:r>
      <w:r>
        <w:rPr>
          <w:rFonts w:hint="eastAsia" w:hAnsi="宋体"/>
          <w:szCs w:val="24"/>
          <w:lang w:val="en-US" w:eastAsia="zh-CN"/>
        </w:rPr>
        <w:t xml:space="preserve">        </w:t>
      </w:r>
      <w:r>
        <w:rPr>
          <w:rFonts w:hint="eastAsia" w:hAnsi="宋体"/>
          <w:szCs w:val="24"/>
        </w:rPr>
        <w:t xml:space="preserve">               电话：</w:t>
      </w:r>
    </w:p>
    <w:p w14:paraId="1B2C2D2D">
      <w:pPr>
        <w:widowControl/>
        <w:spacing w:line="560" w:lineRule="exact"/>
        <w:ind w:firstLine="420" w:firstLineChars="200"/>
        <w:jc w:val="left"/>
        <w:rPr>
          <w:rFonts w:hAnsi="宋体" w:cs="@仿宋_GB2312"/>
          <w:bCs/>
          <w:szCs w:val="20"/>
        </w:rPr>
      </w:pPr>
      <w:bookmarkStart w:id="19" w:name="_Toc331685783"/>
      <w:r>
        <w:rPr>
          <w:rFonts w:hint="eastAsia" w:hAnsi="宋体" w:cs="@仿宋_GB2312"/>
          <w:bCs/>
          <w:szCs w:val="20"/>
        </w:rPr>
        <w:t>时间：</w:t>
      </w:r>
      <w:r>
        <w:rPr>
          <w:rFonts w:hint="eastAsia" w:hAnsi="宋体" w:cs="@仿宋_GB2312"/>
          <w:bCs/>
          <w:szCs w:val="20"/>
          <w:u w:val="single"/>
        </w:rPr>
        <w:t xml:space="preserve">  202</w:t>
      </w:r>
      <w:r>
        <w:rPr>
          <w:rFonts w:hint="eastAsia" w:hAnsi="宋体" w:cs="@仿宋_GB2312"/>
          <w:bCs/>
          <w:szCs w:val="20"/>
          <w:u w:val="single"/>
          <w:lang w:val="en-US" w:eastAsia="zh-CN"/>
        </w:rPr>
        <w:t>5</w:t>
      </w:r>
      <w:r>
        <w:rPr>
          <w:rFonts w:hint="eastAsia" w:hAnsi="宋体" w:cs="@仿宋_GB2312"/>
          <w:bCs/>
          <w:szCs w:val="20"/>
          <w:u w:val="single"/>
        </w:rPr>
        <w:t xml:space="preserve">  </w:t>
      </w:r>
      <w:r>
        <w:rPr>
          <w:rFonts w:hint="eastAsia" w:hAnsi="宋体" w:cs="@仿宋_GB2312"/>
          <w:bCs/>
          <w:szCs w:val="20"/>
        </w:rPr>
        <w:t>年</w:t>
      </w:r>
      <w:r>
        <w:rPr>
          <w:rFonts w:hint="eastAsia" w:hAnsi="宋体" w:cs="@仿宋_GB2312"/>
          <w:bCs/>
          <w:szCs w:val="20"/>
          <w:u w:val="single"/>
        </w:rPr>
        <w:t xml:space="preserve">    </w:t>
      </w:r>
      <w:r>
        <w:rPr>
          <w:rFonts w:hint="eastAsia" w:hAnsi="宋体" w:cs="@仿宋_GB2312"/>
          <w:bCs/>
          <w:szCs w:val="20"/>
        </w:rPr>
        <w:t>月</w:t>
      </w:r>
      <w:r>
        <w:rPr>
          <w:rFonts w:hint="eastAsia" w:hAnsi="宋体" w:cs="@仿宋_GB2312"/>
          <w:bCs/>
          <w:szCs w:val="20"/>
          <w:u w:val="single"/>
        </w:rPr>
        <w:t xml:space="preserve">    </w:t>
      </w:r>
      <w:r>
        <w:rPr>
          <w:rFonts w:hint="eastAsia" w:hAnsi="宋体" w:cs="@仿宋_GB2312"/>
          <w:bCs/>
          <w:szCs w:val="20"/>
        </w:rPr>
        <w:t>日      时间：</w:t>
      </w:r>
      <w:r>
        <w:rPr>
          <w:rFonts w:hint="eastAsia" w:hAnsi="宋体" w:cs="@仿宋_GB2312"/>
          <w:bCs/>
          <w:szCs w:val="20"/>
          <w:u w:val="single"/>
        </w:rPr>
        <w:t xml:space="preserve"> 202</w:t>
      </w:r>
      <w:r>
        <w:rPr>
          <w:rFonts w:hint="eastAsia" w:hAnsi="宋体" w:cs="@仿宋_GB2312"/>
          <w:bCs/>
          <w:szCs w:val="20"/>
          <w:u w:val="single"/>
          <w:lang w:val="en-US" w:eastAsia="zh-CN"/>
        </w:rPr>
        <w:t>5</w:t>
      </w:r>
      <w:r>
        <w:rPr>
          <w:rFonts w:hint="eastAsia" w:hAnsi="宋体" w:cs="@仿宋_GB2312"/>
          <w:bCs/>
          <w:szCs w:val="20"/>
          <w:u w:val="single"/>
        </w:rPr>
        <w:t xml:space="preserve">  </w:t>
      </w:r>
      <w:r>
        <w:rPr>
          <w:rFonts w:hint="eastAsia" w:hAnsi="宋体" w:cs="@仿宋_GB2312"/>
          <w:bCs/>
          <w:szCs w:val="20"/>
        </w:rPr>
        <w:t>年</w:t>
      </w:r>
      <w:r>
        <w:rPr>
          <w:rFonts w:hint="eastAsia" w:hAnsi="宋体" w:cs="@仿宋_GB2312"/>
          <w:bCs/>
          <w:szCs w:val="20"/>
          <w:u w:val="single"/>
        </w:rPr>
        <w:t xml:space="preserve">    </w:t>
      </w:r>
      <w:r>
        <w:rPr>
          <w:rFonts w:hint="eastAsia" w:hAnsi="宋体" w:cs="@仿宋_GB2312"/>
          <w:bCs/>
          <w:szCs w:val="20"/>
        </w:rPr>
        <w:t>月</w:t>
      </w:r>
      <w:r>
        <w:rPr>
          <w:rFonts w:hint="eastAsia" w:hAnsi="宋体" w:cs="@仿宋_GB2312"/>
          <w:bCs/>
          <w:szCs w:val="20"/>
          <w:u w:val="single"/>
        </w:rPr>
        <w:t xml:space="preserve">    </w:t>
      </w:r>
      <w:r>
        <w:rPr>
          <w:rFonts w:hint="eastAsia" w:hAnsi="宋体" w:cs="@仿宋_GB2312"/>
          <w:bCs/>
          <w:szCs w:val="20"/>
        </w:rPr>
        <w:t>日</w:t>
      </w:r>
      <w:bookmarkEnd w:id="19"/>
    </w:p>
    <w:p w14:paraId="46B7808E">
      <w:pPr>
        <w:spacing w:line="440" w:lineRule="exact"/>
        <w:ind w:firstLine="420" w:firstLineChars="200"/>
        <w:rPr>
          <w:rFonts w:hAnsi="宋体"/>
          <w:szCs w:val="24"/>
        </w:rPr>
      </w:pPr>
    </w:p>
    <w:p w14:paraId="1DCEB981">
      <w:pPr>
        <w:jc w:val="center"/>
        <w:rPr>
          <w:rFonts w:hint="eastAsia" w:ascii="黑体" w:hAnsi="黑体" w:eastAsia="黑体" w:cs="黑体"/>
          <w:sz w:val="44"/>
          <w:szCs w:val="44"/>
          <w:lang w:val="en-US" w:eastAsia="zh-CN"/>
        </w:rPr>
      </w:pPr>
    </w:p>
    <w:p w14:paraId="41740F54">
      <w:pPr>
        <w:jc w:val="center"/>
        <w:rPr>
          <w:rFonts w:hint="eastAsia" w:ascii="黑体" w:hAnsi="黑体" w:eastAsia="黑体" w:cs="黑体"/>
          <w:sz w:val="44"/>
          <w:szCs w:val="44"/>
          <w:lang w:val="en-US" w:eastAsia="zh-CN"/>
        </w:rPr>
      </w:pPr>
    </w:p>
    <w:p w14:paraId="0031FAEC">
      <w:pPr>
        <w:jc w:val="center"/>
        <w:rPr>
          <w:rFonts w:hint="eastAsia" w:ascii="黑体" w:hAnsi="黑体" w:eastAsia="黑体" w:cs="黑体"/>
          <w:sz w:val="44"/>
          <w:szCs w:val="44"/>
          <w:lang w:val="en-US" w:eastAsia="zh-CN"/>
        </w:rPr>
      </w:pPr>
    </w:p>
    <w:p w14:paraId="40B5D30E">
      <w:pPr>
        <w:widowControl/>
        <w:jc w:val="left"/>
        <w:rPr>
          <w:rFonts w:ascii="Times New Roman" w:hAnsi="Times New Roman" w:cs="Times New Roman" w:eastAsiaTheme="minorEastAsia"/>
          <w:sz w:val="24"/>
        </w:rPr>
      </w:pPr>
    </w:p>
    <w:p w14:paraId="4CD1483A">
      <w:pPr>
        <w:widowControl/>
        <w:jc w:val="left"/>
        <w:rPr>
          <w:rFonts w:ascii="Times New Roman" w:hAnsi="Times New Roman" w:cs="Times New Roman" w:eastAsiaTheme="minorEastAsia"/>
          <w:sz w:val="24"/>
        </w:rPr>
      </w:pPr>
    </w:p>
    <w:p w14:paraId="60650BF7">
      <w:pPr>
        <w:widowControl/>
        <w:jc w:val="left"/>
        <w:rPr>
          <w:rFonts w:ascii="Times New Roman" w:hAnsi="Times New Roman" w:cs="Times New Roman" w:eastAsiaTheme="minorEastAsia"/>
          <w:sz w:val="24"/>
        </w:rPr>
      </w:pPr>
    </w:p>
    <w:p w14:paraId="433433CE">
      <w:pPr>
        <w:widowControl/>
        <w:jc w:val="left"/>
        <w:rPr>
          <w:rFonts w:ascii="Times New Roman" w:hAnsi="Times New Roman" w:cs="Times New Roman" w:eastAsiaTheme="minorEastAsia"/>
          <w:sz w:val="24"/>
        </w:rPr>
      </w:pPr>
    </w:p>
    <w:p w14:paraId="7FD7576B">
      <w:pPr>
        <w:widowControl/>
        <w:jc w:val="left"/>
        <w:rPr>
          <w:rFonts w:ascii="Times New Roman" w:hAnsi="Times New Roman" w:cs="Times New Roman" w:eastAsiaTheme="minorEastAsia"/>
          <w:sz w:val="24"/>
        </w:rPr>
      </w:pPr>
    </w:p>
    <w:p w14:paraId="0FEB9528">
      <w:pPr>
        <w:widowControl/>
        <w:jc w:val="left"/>
        <w:rPr>
          <w:rFonts w:ascii="Times New Roman" w:hAnsi="Times New Roman" w:cs="Times New Roman" w:eastAsiaTheme="minorEastAsia"/>
          <w:sz w:val="24"/>
        </w:rPr>
      </w:pPr>
    </w:p>
    <w:p w14:paraId="25BA78A0">
      <w:pPr>
        <w:widowControl/>
        <w:jc w:val="left"/>
        <w:rPr>
          <w:rFonts w:ascii="Times New Roman" w:hAnsi="Times New Roman" w:cs="Times New Roman" w:eastAsiaTheme="minorEastAsia"/>
          <w:sz w:val="24"/>
        </w:rPr>
      </w:pPr>
    </w:p>
    <w:p w14:paraId="02EF620F">
      <w:pPr>
        <w:widowControl/>
        <w:jc w:val="left"/>
        <w:rPr>
          <w:rFonts w:ascii="Times New Roman" w:hAnsi="Times New Roman" w:cs="Times New Roman" w:eastAsiaTheme="minorEastAsia"/>
          <w:sz w:val="24"/>
        </w:rPr>
      </w:pPr>
    </w:p>
    <w:p w14:paraId="60AF79B8">
      <w:pPr>
        <w:widowControl/>
        <w:jc w:val="left"/>
        <w:rPr>
          <w:rFonts w:ascii="Times New Roman" w:hAnsi="Times New Roman" w:cs="Times New Roman" w:eastAsiaTheme="minorEastAsia"/>
          <w:sz w:val="24"/>
        </w:rPr>
      </w:pPr>
    </w:p>
    <w:p w14:paraId="199C2655">
      <w:pPr>
        <w:widowControl/>
        <w:jc w:val="left"/>
        <w:rPr>
          <w:rFonts w:ascii="Times New Roman" w:hAnsi="Times New Roman" w:cs="Times New Roman" w:eastAsiaTheme="minorEastAsia"/>
          <w:sz w:val="24"/>
        </w:rPr>
      </w:pPr>
    </w:p>
    <w:p w14:paraId="72B4D47E">
      <w:pPr>
        <w:widowControl/>
        <w:jc w:val="left"/>
        <w:rPr>
          <w:rFonts w:ascii="Times New Roman" w:hAnsi="Times New Roman" w:cs="Times New Roman" w:eastAsiaTheme="minorEastAsia"/>
          <w:sz w:val="24"/>
        </w:rPr>
      </w:pPr>
    </w:p>
    <w:p w14:paraId="7F6633EE">
      <w:pPr>
        <w:widowControl/>
        <w:jc w:val="left"/>
        <w:rPr>
          <w:rFonts w:ascii="Times New Roman" w:hAnsi="Times New Roman" w:cs="Times New Roman" w:eastAsiaTheme="minorEastAsia"/>
          <w:sz w:val="24"/>
        </w:rPr>
      </w:pPr>
    </w:p>
    <w:p w14:paraId="37E8DBBF">
      <w:pPr>
        <w:spacing w:line="360" w:lineRule="auto"/>
        <w:jc w:val="center"/>
        <w:outlineLvl w:val="1"/>
        <w:rPr>
          <w:rFonts w:ascii="Times New Roman" w:hAnsi="Times New Roman" w:cs="Times New Roman" w:eastAsiaTheme="minorEastAsia"/>
          <w:b/>
          <w:sz w:val="28"/>
        </w:rPr>
      </w:pPr>
      <w:bookmarkStart w:id="20" w:name="_Toc22226"/>
      <w:r>
        <w:rPr>
          <w:rFonts w:ascii="Times New Roman" w:hAnsi="Times New Roman" w:cs="Times New Roman" w:eastAsiaTheme="minorEastAsia"/>
          <w:b/>
          <w:sz w:val="28"/>
        </w:rPr>
        <w:t>第六章  投标文件格式</w:t>
      </w:r>
      <w:bookmarkEnd w:id="20"/>
    </w:p>
    <w:p w14:paraId="2FF3CC85">
      <w:pPr>
        <w:spacing w:line="900" w:lineRule="exact"/>
        <w:jc w:val="center"/>
        <w:rPr>
          <w:rFonts w:hint="eastAsia" w:ascii="Times New Roman" w:hAnsi="Times New Roman" w:cs="Times New Roman"/>
          <w:b/>
          <w:bCs/>
          <w:szCs w:val="21"/>
          <w:u w:val="none"/>
          <w:lang w:val="en-US" w:eastAsia="zh-CN"/>
        </w:rPr>
      </w:pPr>
      <w:r>
        <w:rPr>
          <w:rFonts w:hint="eastAsia" w:ascii="Times New Roman" w:hAnsi="Times New Roman" w:cs="Times New Roman"/>
          <w:b/>
          <w:bCs/>
          <w:szCs w:val="21"/>
          <w:u w:val="none"/>
          <w:lang w:val="en-US" w:eastAsia="zh-CN"/>
        </w:rPr>
        <w:t>合肥滨湖国际会展中心闲置车辆评估项目（三次）</w:t>
      </w:r>
    </w:p>
    <w:p w14:paraId="38925BDF">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711C6DCE">
      <w:pPr>
        <w:spacing w:line="900" w:lineRule="exact"/>
        <w:jc w:val="center"/>
        <w:rPr>
          <w:rFonts w:ascii="Times New Roman" w:hAnsi="Times New Roman" w:cs="Times New Roman" w:eastAsiaTheme="minorEastAsia"/>
          <w:b/>
          <w:sz w:val="72"/>
        </w:rPr>
      </w:pPr>
    </w:p>
    <w:p w14:paraId="75722F15">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7AC6A940">
      <w:pPr>
        <w:spacing w:line="900" w:lineRule="exact"/>
        <w:jc w:val="center"/>
        <w:rPr>
          <w:rFonts w:ascii="Times New Roman" w:hAnsi="Times New Roman" w:cs="Times New Roman" w:eastAsiaTheme="minorEastAsia"/>
          <w:b/>
          <w:sz w:val="72"/>
        </w:rPr>
      </w:pPr>
    </w:p>
    <w:p w14:paraId="5A6189C5">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2C10E0CD">
      <w:pPr>
        <w:spacing w:line="900" w:lineRule="exact"/>
        <w:jc w:val="center"/>
        <w:rPr>
          <w:rFonts w:ascii="Times New Roman" w:hAnsi="Times New Roman" w:cs="Times New Roman" w:eastAsiaTheme="minorEastAsia"/>
          <w:b/>
          <w:sz w:val="72"/>
        </w:rPr>
      </w:pPr>
    </w:p>
    <w:p w14:paraId="51D4B9B3">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18BF2BEC">
      <w:pPr>
        <w:spacing w:after="156" w:afterLines="50"/>
        <w:jc w:val="center"/>
        <w:rPr>
          <w:rFonts w:ascii="Times New Roman" w:hAnsi="Times New Roman" w:cs="Times New Roman" w:eastAsiaTheme="minorEastAsia"/>
          <w:b/>
          <w:sz w:val="72"/>
        </w:rPr>
      </w:pPr>
    </w:p>
    <w:p w14:paraId="70CD19EA">
      <w:pPr>
        <w:spacing w:before="156" w:beforeLines="50" w:after="156" w:afterLines="50"/>
        <w:jc w:val="center"/>
        <w:rPr>
          <w:rFonts w:ascii="Times New Roman" w:hAnsi="Times New Roman" w:cs="Times New Roman" w:eastAsiaTheme="minorEastAsia"/>
          <w:b/>
          <w:sz w:val="32"/>
          <w:szCs w:val="32"/>
        </w:rPr>
      </w:pPr>
    </w:p>
    <w:p w14:paraId="2BBB911A">
      <w:pPr>
        <w:spacing w:after="156" w:afterLines="50" w:line="500" w:lineRule="exact"/>
        <w:jc w:val="center"/>
        <w:rPr>
          <w:rFonts w:ascii="Times New Roman" w:hAnsi="Times New Roman" w:cs="Times New Roman" w:eastAsiaTheme="minorEastAsia"/>
          <w:b/>
          <w:sz w:val="28"/>
          <w:szCs w:val="28"/>
        </w:rPr>
      </w:pPr>
    </w:p>
    <w:p w14:paraId="2E248526">
      <w:pPr>
        <w:spacing w:after="156" w:afterLines="50" w:line="500" w:lineRule="exact"/>
        <w:jc w:val="center"/>
        <w:rPr>
          <w:rFonts w:ascii="Times New Roman" w:hAnsi="Times New Roman" w:cs="Times New Roman" w:eastAsiaTheme="minorEastAsia"/>
          <w:b/>
          <w:sz w:val="72"/>
        </w:rPr>
      </w:pPr>
    </w:p>
    <w:p w14:paraId="3DC520D5">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2E7EA8D3">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388C4DB8">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2E6F4A41">
      <w:pPr>
        <w:numPr>
          <w:ilvl w:val="0"/>
          <w:numId w:val="4"/>
        </w:numPr>
        <w:spacing w:line="360" w:lineRule="auto"/>
        <w:jc w:val="center"/>
        <w:outlineLvl w:val="2"/>
        <w:rPr>
          <w:rFonts w:ascii="Times New Roman" w:hAnsi="Times New Roman" w:cs="Times New Roman" w:eastAsiaTheme="minorEastAsia"/>
          <w:b/>
          <w:sz w:val="24"/>
        </w:rPr>
      </w:pPr>
      <w:bookmarkStart w:id="21" w:name="_Hlk23205287"/>
      <w:r>
        <w:rPr>
          <w:rFonts w:ascii="Times New Roman" w:hAnsi="Times New Roman" w:cs="Times New Roman" w:eastAsiaTheme="minorEastAsia"/>
          <w:b/>
          <w:sz w:val="24"/>
        </w:rPr>
        <w:t>报价表</w:t>
      </w:r>
    </w:p>
    <w:p w14:paraId="32B30447">
      <w:pPr>
        <w:spacing w:line="900" w:lineRule="exact"/>
        <w:jc w:val="both"/>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bCs/>
          <w:szCs w:val="21"/>
          <w:u w:val="single"/>
          <w:lang w:val="en-US" w:eastAsia="zh-CN"/>
        </w:rPr>
        <w:t>合肥滨湖国际会展中心闲置车辆评估项目（三次）</w:t>
      </w:r>
    </w:p>
    <w:p w14:paraId="0946E736">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hint="eastAsia" w:ascii="Times New Roman" w:hAnsi="Times New Roman" w:cs="Times New Roman" w:eastAsiaTheme="minorEastAsia"/>
          <w:b/>
          <w:sz w:val="24"/>
          <w:szCs w:val="24"/>
          <w:u w:val="single"/>
          <w:lang w:val="en-US" w:eastAsia="zh-CN"/>
        </w:rPr>
        <w:t xml:space="preserve"> 2025ZWHZXJ0001</w:t>
      </w:r>
      <w:r>
        <w:rPr>
          <w:rFonts w:hint="eastAsia" w:ascii="Times New Roman" w:hAnsi="Times New Roman" w:cs="Times New Roman"/>
          <w:b/>
          <w:sz w:val="24"/>
          <w:szCs w:val="24"/>
          <w:u w:val="single"/>
          <w:lang w:val="en-US" w:eastAsia="zh-CN"/>
        </w:rPr>
        <w:t>4</w:t>
      </w:r>
      <w:r>
        <w:rPr>
          <w:rFonts w:ascii="Times New Roman" w:hAnsi="Times New Roman" w:cs="Times New Roman" w:eastAsiaTheme="minorEastAsia"/>
          <w:b/>
          <w:sz w:val="24"/>
          <w:szCs w:val="24"/>
          <w:u w:val="single"/>
        </w:rPr>
        <w:t xml:space="preserve"> </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54311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031BAD9F">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14:paraId="09501C0C">
            <w:pPr>
              <w:rPr>
                <w:rFonts w:ascii="Times New Roman" w:hAnsi="Times New Roman" w:cs="Times New Roman" w:eastAsiaTheme="minorEastAsia"/>
                <w:b/>
                <w:sz w:val="24"/>
                <w:szCs w:val="24"/>
              </w:rPr>
            </w:pPr>
          </w:p>
        </w:tc>
      </w:tr>
      <w:tr w14:paraId="3C989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241514FF">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14:paraId="17FBD274">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 xml:space="preserve">全部 </w:t>
            </w:r>
          </w:p>
        </w:tc>
      </w:tr>
      <w:tr w14:paraId="34BD1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002CD945">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14:paraId="004B3F18">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14:paraId="7DE4481C">
            <w:pPr>
              <w:snapToGrid w:val="0"/>
              <w:rPr>
                <w:rFonts w:ascii="Times New Roman" w:hAnsi="Times New Roman" w:cs="Times New Roman" w:eastAsiaTheme="minorEastAsia"/>
                <w:sz w:val="24"/>
                <w:szCs w:val="24"/>
              </w:rPr>
            </w:pPr>
          </w:p>
          <w:p w14:paraId="5AB7926F">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14:paraId="00894CF5">
            <w:pPr>
              <w:snapToGrid w:val="0"/>
              <w:rPr>
                <w:rFonts w:ascii="Times New Roman" w:hAnsi="Times New Roman" w:cs="Times New Roman" w:eastAsiaTheme="minorEastAsia"/>
                <w:b/>
                <w:sz w:val="24"/>
                <w:szCs w:val="24"/>
              </w:rPr>
            </w:pPr>
          </w:p>
        </w:tc>
      </w:tr>
      <w:tr w14:paraId="67F6F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442" w:type="pct"/>
            <w:vAlign w:val="center"/>
          </w:tcPr>
          <w:p w14:paraId="19F89729">
            <w:pPr>
              <w:jc w:val="center"/>
              <w:rPr>
                <w:rFonts w:hint="default" w:ascii="Times New Roman" w:hAnsi="Times New Roman" w:cs="Times New Roman" w:eastAsiaTheme="minorEastAsia"/>
                <w:b/>
                <w:sz w:val="24"/>
                <w:szCs w:val="24"/>
                <w:lang w:val="en-US" w:eastAsia="zh-CN"/>
              </w:rPr>
            </w:pPr>
            <w:r>
              <w:rPr>
                <w:rFonts w:hint="eastAsia" w:ascii="Times New Roman" w:hAnsi="Times New Roman" w:cs="Times New Roman"/>
                <w:b/>
                <w:sz w:val="24"/>
                <w:szCs w:val="24"/>
                <w:lang w:val="en-US" w:eastAsia="zh-CN"/>
              </w:rPr>
              <w:t>服务期限</w:t>
            </w:r>
          </w:p>
        </w:tc>
        <w:tc>
          <w:tcPr>
            <w:tcW w:w="3557" w:type="pct"/>
          </w:tcPr>
          <w:p w14:paraId="69CD529E">
            <w:pPr>
              <w:jc w:val="left"/>
              <w:rPr>
                <w:rFonts w:ascii="Times New Roman" w:hAnsi="Times New Roman" w:cs="Times New Roman" w:eastAsiaTheme="minorEastAsia"/>
                <w:b/>
                <w:sz w:val="24"/>
                <w:szCs w:val="24"/>
              </w:rPr>
            </w:pPr>
          </w:p>
        </w:tc>
      </w:tr>
      <w:tr w14:paraId="13556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075638B0">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14:paraId="62BA4172">
            <w:pPr>
              <w:rPr>
                <w:rFonts w:ascii="Times New Roman" w:hAnsi="Times New Roman" w:cs="Times New Roman" w:eastAsiaTheme="minorEastAsia"/>
                <w:b/>
                <w:sz w:val="24"/>
                <w:szCs w:val="24"/>
              </w:rPr>
            </w:pPr>
          </w:p>
        </w:tc>
      </w:tr>
    </w:tbl>
    <w:p w14:paraId="3F77AF98">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14:paraId="42276F21">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14:paraId="00625998">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14:paraId="4DF0FE2E">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14:paraId="62B95187">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14:paraId="29E196EF">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61270951">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14:paraId="256ACC04">
      <w:pPr>
        <w:pStyle w:val="12"/>
        <w:spacing w:line="360" w:lineRule="auto"/>
        <w:ind w:left="0" w:leftChars="0" w:firstLine="0" w:firstLineChars="0"/>
        <w:rPr>
          <w:rFonts w:hint="eastAsia" w:ascii="Times New Roman" w:hAnsi="Times New Roman" w:cs="Times New Roman" w:eastAsiaTheme="minorEastAsia"/>
          <w:sz w:val="24"/>
          <w:lang w:eastAsia="zh-CN"/>
        </w:rPr>
      </w:pPr>
      <w:r>
        <w:rPr>
          <w:rFonts w:ascii="Times New Roman" w:hAnsi="Times New Roman" w:cs="Times New Roman" w:eastAsiaTheme="minorEastAsia"/>
          <w:sz w:val="24"/>
        </w:rPr>
        <w:t>致：</w:t>
      </w:r>
      <w:r>
        <w:rPr>
          <w:rFonts w:hint="eastAsia" w:ascii="Times New Roman" w:hAnsi="Times New Roman" w:cs="Times New Roman"/>
          <w:sz w:val="24"/>
          <w:u w:val="single"/>
          <w:lang w:eastAsia="zh-CN"/>
        </w:rPr>
        <w:t>合肥政文国际会展管理有限公司</w:t>
      </w:r>
    </w:p>
    <w:p w14:paraId="0556275D">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14:paraId="2795AC97">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w:t>
      </w:r>
      <w:r>
        <w:rPr>
          <w:rFonts w:hint="eastAsia" w:ascii="Times New Roman" w:hAnsi="Times New Roman" w:cs="Times New Roman"/>
          <w:sz w:val="24"/>
          <w:szCs w:val="24"/>
          <w:lang w:val="en-US" w:eastAsia="zh-CN"/>
        </w:rPr>
        <w:t>全部内容</w:t>
      </w:r>
      <w:r>
        <w:rPr>
          <w:rFonts w:ascii="Times New Roman" w:hAnsi="Times New Roman" w:cs="Times New Roman" w:eastAsiaTheme="minorEastAsia"/>
          <w:sz w:val="24"/>
          <w:szCs w:val="24"/>
        </w:rPr>
        <w:t>。</w:t>
      </w:r>
    </w:p>
    <w:p w14:paraId="478A82E7">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2</w:t>
      </w:r>
      <w:r>
        <w:rPr>
          <w:rFonts w:ascii="Times New Roman" w:hAnsi="Times New Roman" w:cs="Times New Roman" w:eastAsiaTheme="minorEastAsia"/>
          <w:sz w:val="24"/>
          <w:szCs w:val="24"/>
        </w:rPr>
        <w:t>.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14:paraId="03F9528D">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3</w:t>
      </w:r>
      <w:r>
        <w:rPr>
          <w:rFonts w:ascii="Times New Roman" w:hAnsi="Times New Roman" w:cs="Times New Roman" w:eastAsiaTheme="minorEastAsia"/>
          <w:sz w:val="24"/>
          <w:szCs w:val="24"/>
        </w:rPr>
        <w:t>.如我方中标，我方承诺愿意按询价文件规定缴纳履约保证金。按本次询价文件规定及</w:t>
      </w:r>
      <w:r>
        <w:rPr>
          <w:rFonts w:hint="eastAsia"/>
          <w:sz w:val="24"/>
        </w:rPr>
        <w:t>最终投标报价承诺提供服务</w:t>
      </w:r>
      <w:r>
        <w:rPr>
          <w:rFonts w:ascii="Times New Roman" w:hAnsi="Times New Roman" w:cs="Times New Roman" w:eastAsiaTheme="minorEastAsia"/>
          <w:sz w:val="24"/>
          <w:szCs w:val="24"/>
        </w:rPr>
        <w:t>。</w:t>
      </w:r>
    </w:p>
    <w:p w14:paraId="6F331F41">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4</w:t>
      </w:r>
      <w:r>
        <w:rPr>
          <w:rFonts w:ascii="Times New Roman" w:hAnsi="Times New Roman" w:cs="Times New Roman" w:eastAsiaTheme="minorEastAsia"/>
          <w:sz w:val="24"/>
          <w:szCs w:val="24"/>
        </w:rPr>
        <w:t>.我方根据本次询价文件的规定，严格履行合同的责任和义务,并保证于你方要求的日期内</w:t>
      </w:r>
      <w:r>
        <w:rPr>
          <w:rFonts w:hint="eastAsia"/>
          <w:sz w:val="24"/>
        </w:rPr>
        <w:t>合同规定的全部义务</w:t>
      </w:r>
      <w:r>
        <w:rPr>
          <w:rFonts w:ascii="Times New Roman" w:hAnsi="Times New Roman" w:cs="Times New Roman" w:eastAsiaTheme="minorEastAsia"/>
          <w:sz w:val="24"/>
          <w:szCs w:val="24"/>
        </w:rPr>
        <w:t>。</w:t>
      </w:r>
    </w:p>
    <w:p w14:paraId="3824F464">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5</w:t>
      </w:r>
      <w:r>
        <w:rPr>
          <w:rFonts w:ascii="Times New Roman" w:hAnsi="Times New Roman" w:cs="Times New Roman" w:eastAsiaTheme="minorEastAsia"/>
          <w:sz w:val="24"/>
          <w:szCs w:val="24"/>
        </w:rPr>
        <w:t>.我方同意按你方要求在规定时间内向你方提供与其投标有关的任何证据或补充资料，否则，我方的投标文件可被你方拒绝。</w:t>
      </w:r>
    </w:p>
    <w:p w14:paraId="23677392">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6</w:t>
      </w:r>
      <w:r>
        <w:rPr>
          <w:rFonts w:ascii="Times New Roman" w:hAnsi="Times New Roman" w:cs="Times New Roman" w:eastAsiaTheme="minorEastAsia"/>
          <w:sz w:val="24"/>
          <w:szCs w:val="24"/>
        </w:rPr>
        <w:t>.我方同意询价文件规定的付款方式、</w:t>
      </w:r>
      <w:r>
        <w:rPr>
          <w:rFonts w:hint="eastAsia" w:ascii="Times New Roman" w:hAnsi="Times New Roman" w:cs="Times New Roman"/>
          <w:sz w:val="24"/>
          <w:szCs w:val="24"/>
          <w:lang w:val="en-US" w:eastAsia="zh-CN"/>
        </w:rPr>
        <w:t>服务</w:t>
      </w:r>
      <w:r>
        <w:rPr>
          <w:rFonts w:ascii="Times New Roman" w:hAnsi="Times New Roman" w:cs="Times New Roman" w:eastAsiaTheme="minorEastAsia"/>
          <w:sz w:val="24"/>
          <w:szCs w:val="24"/>
        </w:rPr>
        <w:t>期限。</w:t>
      </w:r>
    </w:p>
    <w:p w14:paraId="5AE5B3A0">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7</w:t>
      </w:r>
      <w:r>
        <w:rPr>
          <w:rFonts w:ascii="Times New Roman" w:hAnsi="Times New Roman" w:cs="Times New Roman" w:eastAsiaTheme="minorEastAsia"/>
          <w:sz w:val="24"/>
          <w:szCs w:val="24"/>
        </w:rPr>
        <w:t>.我方对投标文件中所提供资料、文件、证书及证件的真实性和有效性负责。</w:t>
      </w:r>
    </w:p>
    <w:p w14:paraId="69D96229">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8</w:t>
      </w:r>
      <w:r>
        <w:rPr>
          <w:rFonts w:ascii="Times New Roman" w:hAnsi="Times New Roman" w:cs="Times New Roman" w:eastAsiaTheme="minorEastAsia"/>
          <w:sz w:val="24"/>
          <w:szCs w:val="24"/>
        </w:rPr>
        <w:t>.我方同意所提交的投标文件在询价文件规定的投标有效期内有效，在此期间内如果中标，我方将受此约束。</w:t>
      </w:r>
    </w:p>
    <w:p w14:paraId="26EC353A">
      <w:pPr>
        <w:spacing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9</w:t>
      </w:r>
      <w:r>
        <w:rPr>
          <w:rFonts w:ascii="Times New Roman" w:hAnsi="Times New Roman" w:cs="Times New Roman" w:eastAsiaTheme="minorEastAsia"/>
          <w:sz w:val="24"/>
          <w:szCs w:val="24"/>
        </w:rPr>
        <w:t>.除非另外达成协议并生效，你方的中标通知书和本投标文件以及询价文件、询价文件澄清、修改、补充将成为约束双方的合同文件的组成部分。</w:t>
      </w:r>
    </w:p>
    <w:p w14:paraId="42A2A65D">
      <w:pPr>
        <w:spacing w:line="360" w:lineRule="auto"/>
        <w:ind w:firstLine="480" w:firstLineChars="200"/>
      </w:pPr>
      <w:r>
        <w:rPr>
          <w:rFonts w:hint="eastAsia" w:cs="宋体" w:asciiTheme="minorEastAsia" w:hAnsiTheme="minorEastAsia" w:eastAsiaTheme="minorEastAsia"/>
          <w:kern w:val="2"/>
          <w:sz w:val="24"/>
          <w:szCs w:val="24"/>
        </w:rPr>
        <w:t>1</w:t>
      </w:r>
      <w:r>
        <w:rPr>
          <w:rFonts w:hint="eastAsia" w:cs="宋体" w:asciiTheme="minorEastAsia" w:hAnsiTheme="minorEastAsia"/>
          <w:kern w:val="2"/>
          <w:sz w:val="24"/>
          <w:szCs w:val="24"/>
          <w:lang w:val="en-US" w:eastAsia="zh-CN"/>
        </w:rPr>
        <w:t>0</w:t>
      </w:r>
      <w:r>
        <w:rPr>
          <w:rFonts w:hint="eastAsia" w:cs="宋体" w:asciiTheme="minorEastAsia" w:hAnsiTheme="minorEastAsia" w:eastAsiaTheme="minorEastAsia"/>
          <w:kern w:val="2"/>
          <w:sz w:val="24"/>
          <w:szCs w:val="24"/>
        </w:rPr>
        <w:t>.我方不存在竞价公告中“投标人资格要求”的“不良信用记录情形”规定的任何一种情形。</w:t>
      </w:r>
    </w:p>
    <w:p w14:paraId="3E00C203">
      <w:pPr>
        <w:spacing w:line="360" w:lineRule="auto"/>
        <w:ind w:firstLine="480" w:firstLineChars="200"/>
        <w:rPr>
          <w:rFonts w:ascii="Times New Roman" w:hAnsi="Times New Roman" w:cs="Times New Roman"/>
        </w:rPr>
      </w:pPr>
      <w:r>
        <w:rPr>
          <w:rFonts w:hint="eastAsia" w:ascii="Times New Roman" w:hAnsi="Times New Roman" w:cs="Times New Roman"/>
          <w:sz w:val="24"/>
          <w:szCs w:val="24"/>
          <w:lang w:val="en-US" w:eastAsia="zh-CN"/>
        </w:rPr>
        <w:t>11</w:t>
      </w:r>
      <w:r>
        <w:rPr>
          <w:rFonts w:ascii="Times New Roman" w:hAnsi="Times New Roman" w:cs="Times New Roman" w:eastAsiaTheme="minorEastAsia"/>
          <w:sz w:val="24"/>
          <w:szCs w:val="24"/>
        </w:rPr>
        <w:t>.其他补充说明：</w:t>
      </w:r>
      <w:r>
        <w:rPr>
          <w:rFonts w:ascii="Times New Roman" w:hAnsi="Times New Roman" w:cs="Times New Roman" w:eastAsiaTheme="minorEastAsia"/>
          <w:sz w:val="24"/>
          <w:szCs w:val="24"/>
          <w:u w:val="single"/>
        </w:rPr>
        <w:t xml:space="preserve">             补充说明事项（如有）       </w:t>
      </w:r>
    </w:p>
    <w:p w14:paraId="6BA58C09">
      <w:pPr>
        <w:pStyle w:val="21"/>
        <w:ind w:firstLine="210"/>
        <w:rPr>
          <w:rFonts w:ascii="Times New Roman" w:hAnsi="Times New Roman" w:cs="Times New Roman"/>
        </w:rPr>
      </w:pPr>
    </w:p>
    <w:p w14:paraId="35CF6B2F">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14:paraId="2C8C0CEC">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14:paraId="2C5C5E1B">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bookmarkEnd w:id="21"/>
    <w:p w14:paraId="00889D73">
      <w:pPr>
        <w:spacing w:line="360" w:lineRule="auto"/>
        <w:jc w:val="center"/>
        <w:outlineLvl w:val="2"/>
        <w:rPr>
          <w:rFonts w:ascii="Times New Roman" w:hAnsi="Times New Roman" w:cs="Times New Roman" w:eastAsiaTheme="minorEastAsia"/>
          <w:b/>
          <w:sz w:val="24"/>
        </w:rPr>
      </w:pPr>
      <w:r>
        <w:rPr>
          <w:rFonts w:hint="eastAsia" w:ascii="Times New Roman" w:hAnsi="Times New Roman" w:cs="Times New Roman"/>
          <w:b/>
          <w:sz w:val="24"/>
          <w:lang w:val="en-US" w:eastAsia="zh-CN"/>
        </w:rPr>
        <w:t>三</w:t>
      </w:r>
      <w:r>
        <w:rPr>
          <w:rFonts w:ascii="Times New Roman" w:hAnsi="Times New Roman" w:cs="Times New Roman" w:eastAsiaTheme="minorEastAsia"/>
          <w:b/>
          <w:sz w:val="24"/>
        </w:rPr>
        <w:t>、法定代表人（单位负责人）身份证明或授权委托书</w:t>
      </w:r>
    </w:p>
    <w:p w14:paraId="62761155">
      <w:pPr>
        <w:spacing w:line="500" w:lineRule="exact"/>
        <w:ind w:firstLine="1164" w:firstLineChars="414"/>
        <w:rPr>
          <w:b/>
          <w:bCs/>
          <w:sz w:val="28"/>
          <w:szCs w:val="22"/>
        </w:rPr>
      </w:pPr>
    </w:p>
    <w:p w14:paraId="2407F855">
      <w:pPr>
        <w:spacing w:line="500" w:lineRule="exact"/>
        <w:jc w:val="center"/>
        <w:rPr>
          <w:rFonts w:eastAsia="黑体"/>
          <w:bCs/>
          <w:sz w:val="24"/>
        </w:rPr>
      </w:pPr>
      <w:r>
        <w:rPr>
          <w:rFonts w:eastAsia="黑体"/>
          <w:bCs/>
          <w:sz w:val="24"/>
        </w:rPr>
        <w:t>法定代表人（单位负责人）身份证明</w:t>
      </w:r>
    </w:p>
    <w:p w14:paraId="1448B9B3">
      <w:pPr>
        <w:spacing w:line="500" w:lineRule="exact"/>
        <w:ind w:left="765"/>
        <w:rPr>
          <w:szCs w:val="22"/>
        </w:rPr>
      </w:pPr>
    </w:p>
    <w:p w14:paraId="7E1D8D84">
      <w:pPr>
        <w:spacing w:line="500" w:lineRule="exact"/>
        <w:rPr>
          <w:szCs w:val="21"/>
        </w:rPr>
      </w:pPr>
      <w:r>
        <w:rPr>
          <w:szCs w:val="21"/>
        </w:rPr>
        <w:t>投 标 人：</w:t>
      </w:r>
      <w:r>
        <w:rPr>
          <w:szCs w:val="21"/>
          <w:u w:val="single"/>
        </w:rPr>
        <w:t xml:space="preserve">                                                        </w:t>
      </w:r>
    </w:p>
    <w:p w14:paraId="1F62DEBC">
      <w:pPr>
        <w:spacing w:line="500" w:lineRule="exact"/>
        <w:rPr>
          <w:szCs w:val="21"/>
        </w:rPr>
      </w:pPr>
      <w:r>
        <w:rPr>
          <w:szCs w:val="21"/>
        </w:rPr>
        <w:t>单位性质：</w:t>
      </w:r>
      <w:r>
        <w:rPr>
          <w:szCs w:val="21"/>
          <w:u w:val="single"/>
        </w:rPr>
        <w:t xml:space="preserve">                                                        </w:t>
      </w:r>
    </w:p>
    <w:p w14:paraId="681ED506">
      <w:pPr>
        <w:spacing w:line="500" w:lineRule="exact"/>
        <w:rPr>
          <w:szCs w:val="21"/>
        </w:rPr>
      </w:pPr>
      <w:r>
        <w:rPr>
          <w:szCs w:val="21"/>
        </w:rPr>
        <w:t>地    址：</w:t>
      </w:r>
      <w:r>
        <w:rPr>
          <w:szCs w:val="21"/>
          <w:u w:val="single"/>
        </w:rPr>
        <w:t xml:space="preserve">                                                        </w:t>
      </w:r>
    </w:p>
    <w:p w14:paraId="610B8FAF">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71081493">
      <w:pPr>
        <w:spacing w:line="500" w:lineRule="exact"/>
        <w:rPr>
          <w:szCs w:val="21"/>
        </w:rPr>
      </w:pPr>
      <w:r>
        <w:rPr>
          <w:szCs w:val="21"/>
        </w:rPr>
        <w:t>经营期限：</w:t>
      </w:r>
      <w:r>
        <w:rPr>
          <w:szCs w:val="21"/>
          <w:u w:val="single"/>
        </w:rPr>
        <w:t xml:space="preserve">                                                        </w:t>
      </w:r>
    </w:p>
    <w:p w14:paraId="37A7E084">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14:paraId="0EEA9698">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14:paraId="5D3D4590">
      <w:pPr>
        <w:spacing w:line="500" w:lineRule="exact"/>
        <w:rPr>
          <w:szCs w:val="21"/>
        </w:rPr>
      </w:pPr>
      <w:r>
        <w:rPr>
          <w:szCs w:val="21"/>
        </w:rPr>
        <w:t>系</w:t>
      </w:r>
      <w:r>
        <w:rPr>
          <w:szCs w:val="21"/>
          <w:u w:val="single"/>
        </w:rPr>
        <w:t xml:space="preserve">                                        </w:t>
      </w:r>
      <w:r>
        <w:rPr>
          <w:szCs w:val="21"/>
        </w:rPr>
        <w:t>（投标人名称）的法定代表人（单位负责人）。</w:t>
      </w:r>
    </w:p>
    <w:p w14:paraId="552086FA">
      <w:pPr>
        <w:spacing w:line="500" w:lineRule="exact"/>
        <w:rPr>
          <w:szCs w:val="21"/>
        </w:rPr>
      </w:pPr>
      <w:r>
        <w:rPr>
          <w:szCs w:val="21"/>
        </w:rPr>
        <w:t>特此证明。</w:t>
      </w:r>
    </w:p>
    <w:p w14:paraId="632BF880">
      <w:pPr>
        <w:spacing w:line="500" w:lineRule="exact"/>
        <w:rPr>
          <w:szCs w:val="21"/>
        </w:rPr>
      </w:pPr>
    </w:p>
    <w:p w14:paraId="2E4A93C9">
      <w:pPr>
        <w:spacing w:line="500" w:lineRule="exact"/>
        <w:rPr>
          <w:szCs w:val="21"/>
        </w:rPr>
      </w:pPr>
    </w:p>
    <w:p w14:paraId="4B898F5E">
      <w:pPr>
        <w:wordWrap w:val="0"/>
        <w:spacing w:line="500" w:lineRule="exact"/>
        <w:jc w:val="right"/>
        <w:rPr>
          <w:szCs w:val="21"/>
        </w:rPr>
      </w:pPr>
      <w:r>
        <w:rPr>
          <w:szCs w:val="21"/>
        </w:rPr>
        <w:t>投标人：</w:t>
      </w:r>
      <w:r>
        <w:rPr>
          <w:szCs w:val="21"/>
          <w:u w:val="single"/>
        </w:rPr>
        <w:t xml:space="preserve">                          </w:t>
      </w:r>
      <w:r>
        <w:rPr>
          <w:szCs w:val="21"/>
        </w:rPr>
        <w:t>（盖单位章）</w:t>
      </w:r>
    </w:p>
    <w:p w14:paraId="1E5E9200">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42E529C4">
      <w:pPr>
        <w:spacing w:line="500" w:lineRule="exact"/>
        <w:ind w:firstLine="3840" w:firstLineChars="1600"/>
        <w:rPr>
          <w:sz w:val="24"/>
          <w:szCs w:val="22"/>
        </w:rPr>
      </w:pPr>
    </w:p>
    <w:p w14:paraId="421F1F1F">
      <w:pPr>
        <w:spacing w:line="500" w:lineRule="exact"/>
        <w:rPr>
          <w:b/>
          <w:bCs/>
          <w:sz w:val="24"/>
          <w:szCs w:val="22"/>
        </w:rPr>
      </w:pPr>
    </w:p>
    <w:p w14:paraId="23AEF07E">
      <w:pPr>
        <w:spacing w:line="500" w:lineRule="exact"/>
        <w:rPr>
          <w:b/>
          <w:bCs/>
          <w:sz w:val="24"/>
          <w:szCs w:val="22"/>
        </w:rPr>
      </w:pPr>
    </w:p>
    <w:p w14:paraId="2A226B89">
      <w:pPr>
        <w:spacing w:line="500" w:lineRule="exact"/>
        <w:rPr>
          <w:b/>
          <w:bCs/>
          <w:sz w:val="24"/>
          <w:szCs w:val="22"/>
        </w:rPr>
      </w:pPr>
    </w:p>
    <w:p w14:paraId="2FE9BAD5">
      <w:pPr>
        <w:spacing w:line="500" w:lineRule="exact"/>
        <w:jc w:val="center"/>
        <w:rPr>
          <w:rFonts w:hint="default" w:eastAsia="黑体"/>
          <w:sz w:val="32"/>
          <w:szCs w:val="32"/>
          <w:lang w:val="en-US" w:eastAsia="zh-CN"/>
        </w:rPr>
      </w:pPr>
      <w:bookmarkStart w:id="22" w:name="_Toc535241130"/>
      <w:bookmarkStart w:id="23" w:name="_Toc535241084"/>
      <w:bookmarkStart w:id="24" w:name="_Toc535241227"/>
      <w:bookmarkStart w:id="25" w:name="_Toc224103498"/>
      <w:bookmarkStart w:id="26" w:name="_Toc224103497"/>
      <w:r>
        <w:rPr>
          <w:sz w:val="32"/>
          <w:szCs w:val="32"/>
        </w:rPr>
        <w:br w:type="page"/>
      </w:r>
      <w:r>
        <w:rPr>
          <w:rFonts w:eastAsia="黑体"/>
          <w:bCs/>
          <w:sz w:val="24"/>
        </w:rPr>
        <w:t>授权委托书</w:t>
      </w:r>
      <w:bookmarkEnd w:id="22"/>
      <w:bookmarkEnd w:id="23"/>
      <w:bookmarkEnd w:id="24"/>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14:paraId="14F8CF18">
      <w:pPr>
        <w:spacing w:line="500" w:lineRule="exact"/>
      </w:pPr>
    </w:p>
    <w:p w14:paraId="7A97541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14:paraId="496C6CF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14:paraId="1444D2C8">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14:paraId="7C1555A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14:paraId="4DD244D8">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14:paraId="6456F99F">
      <w:pPr>
        <w:spacing w:line="500" w:lineRule="exact"/>
        <w:rPr>
          <w:szCs w:val="21"/>
        </w:rPr>
      </w:pPr>
    </w:p>
    <w:p w14:paraId="0C0495A7">
      <w:pPr>
        <w:spacing w:line="500" w:lineRule="exact"/>
        <w:ind w:firstLine="3150" w:firstLineChars="1500"/>
        <w:rPr>
          <w:szCs w:val="21"/>
        </w:rPr>
      </w:pPr>
      <w:r>
        <w:rPr>
          <w:szCs w:val="21"/>
        </w:rPr>
        <w:t>投  标  人：</w:t>
      </w:r>
      <w:r>
        <w:rPr>
          <w:szCs w:val="21"/>
          <w:u w:val="single"/>
        </w:rPr>
        <w:t xml:space="preserve">                         </w:t>
      </w:r>
      <w:r>
        <w:rPr>
          <w:szCs w:val="21"/>
        </w:rPr>
        <w:t>（盖单位章）</w:t>
      </w:r>
    </w:p>
    <w:p w14:paraId="581A5364">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14:paraId="2210952B">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14:paraId="660060E6">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7F3279C3">
      <w:pPr>
        <w:autoSpaceDE w:val="0"/>
        <w:autoSpaceDN w:val="0"/>
        <w:adjustRightInd w:val="0"/>
        <w:snapToGrid w:val="0"/>
        <w:spacing w:line="500" w:lineRule="exact"/>
        <w:jc w:val="left"/>
        <w:rPr>
          <w:kern w:val="0"/>
          <w:szCs w:val="22"/>
        </w:rPr>
      </w:pPr>
    </w:p>
    <w:p w14:paraId="1B39BACD">
      <w:pPr>
        <w:tabs>
          <w:tab w:val="left" w:pos="5760"/>
        </w:tabs>
        <w:autoSpaceDE w:val="0"/>
        <w:autoSpaceDN w:val="0"/>
        <w:adjustRightInd w:val="0"/>
        <w:spacing w:line="500" w:lineRule="exact"/>
        <w:ind w:right="11"/>
        <w:rPr>
          <w:kern w:val="0"/>
          <w:szCs w:val="22"/>
        </w:rPr>
      </w:pPr>
      <w:r>
        <w:rPr>
          <w:kern w:val="0"/>
          <w:szCs w:val="22"/>
        </w:rPr>
        <w:t>注：</w:t>
      </w:r>
    </w:p>
    <w:p w14:paraId="67799093">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25"/>
      <w:bookmarkEnd w:id="26"/>
    </w:p>
    <w:p w14:paraId="66C47E60">
      <w:pPr>
        <w:spacing w:line="360" w:lineRule="auto"/>
        <w:jc w:val="center"/>
        <w:rPr>
          <w:rFonts w:ascii="Times New Roman" w:hAnsi="Times New Roman" w:cs="Times New Roman" w:eastAsiaTheme="minorEastAsia"/>
          <w:i/>
          <w:sz w:val="24"/>
        </w:rPr>
      </w:pPr>
      <w:r>
        <w:rPr>
          <w:rFonts w:ascii="Times New Roman" w:hAnsi="Times New Roman"/>
          <w:kern w:val="0"/>
          <w:szCs w:val="22"/>
        </w:rPr>
        <w:br w:type="page"/>
      </w:r>
    </w:p>
    <w:p w14:paraId="2142BFDD">
      <w:pPr>
        <w:bidi w:val="0"/>
      </w:pPr>
    </w:p>
    <w:p w14:paraId="7B184044">
      <w:pPr>
        <w:bidi w:val="0"/>
      </w:pPr>
    </w:p>
    <w:p w14:paraId="028DF8D4">
      <w:pPr>
        <w:bidi w:val="0"/>
      </w:pPr>
    </w:p>
    <w:p w14:paraId="653A8B01">
      <w:pPr>
        <w:rPr>
          <w:rFonts w:ascii="Times New Roman" w:hAnsi="Times New Roman" w:cs="Times New Roman"/>
        </w:rPr>
      </w:pPr>
    </w:p>
    <w:p w14:paraId="739AB51F">
      <w:pPr>
        <w:widowControl/>
        <w:jc w:val="center"/>
        <w:rPr>
          <w:rFonts w:ascii="Times New Roman" w:hAnsi="Times New Roman" w:cs="Times New Roman" w:eastAsiaTheme="minorEastAsia"/>
          <w:b/>
          <w:sz w:val="24"/>
        </w:rPr>
      </w:pPr>
      <w:bookmarkStart w:id="27" w:name="_Hlk11701496"/>
      <w:bookmarkStart w:id="28" w:name="_Toc520299364"/>
      <w:r>
        <w:rPr>
          <w:rFonts w:hint="eastAsia" w:ascii="Times New Roman" w:hAnsi="Times New Roman" w:cs="Times New Roman"/>
          <w:b/>
          <w:sz w:val="24"/>
          <w:lang w:val="en-US" w:eastAsia="zh-CN"/>
        </w:rPr>
        <w:t>四</w:t>
      </w:r>
      <w:r>
        <w:rPr>
          <w:rFonts w:ascii="Times New Roman" w:hAnsi="Times New Roman" w:cs="Times New Roman" w:eastAsiaTheme="minorEastAsia"/>
          <w:b/>
          <w:sz w:val="24"/>
        </w:rPr>
        <w:t>、</w:t>
      </w:r>
      <w:bookmarkEnd w:id="27"/>
      <w:bookmarkEnd w:id="28"/>
      <w:r>
        <w:rPr>
          <w:rFonts w:ascii="Times New Roman" w:hAnsi="Times New Roman" w:cs="Times New Roman" w:eastAsiaTheme="minorEastAsia"/>
          <w:b/>
          <w:sz w:val="24"/>
        </w:rPr>
        <w:t>其他相关证明材料</w:t>
      </w:r>
    </w:p>
    <w:p w14:paraId="418A4C68">
      <w:pPr>
        <w:spacing w:line="360" w:lineRule="auto"/>
        <w:ind w:firstLine="435"/>
        <w:jc w:val="center"/>
        <w:rPr>
          <w:rFonts w:ascii="Times New Roman" w:hAnsi="Times New Roman" w:cs="Times New Roman" w:eastAsiaTheme="minorEastAsia"/>
          <w:sz w:val="24"/>
        </w:rPr>
      </w:pPr>
      <w:r>
        <w:rPr>
          <w:rFonts w:ascii="Times New Roman" w:hAnsi="Times New Roman" w:cs="Times New Roman" w:eastAsiaTheme="minorEastAsia"/>
          <w:sz w:val="24"/>
        </w:rPr>
        <w:t>提供符合询价公告、招标人要求及评审方法规定的相关证明文件。</w:t>
      </w:r>
    </w:p>
    <w:p w14:paraId="49E389B2">
      <w:pPr>
        <w:spacing w:line="360" w:lineRule="auto"/>
        <w:ind w:firstLine="480" w:firstLineChars="200"/>
        <w:jc w:val="center"/>
        <w:rPr>
          <w:rFonts w:ascii="Times New Roman" w:hAnsi="Times New Roman" w:cs="Times New Roman" w:eastAsiaTheme="minorEastAsia"/>
          <w:sz w:val="24"/>
        </w:rPr>
      </w:pPr>
    </w:p>
    <w:p w14:paraId="5797C4B7">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14:paraId="34421485">
      <w:pPr>
        <w:spacing w:line="360" w:lineRule="auto"/>
        <w:ind w:firstLine="435"/>
        <w:rPr>
          <w:rFonts w:hint="eastAsia" w:ascii="Times New Roman" w:hAnsi="Times New Roman" w:cs="Times New Roman" w:eastAsiaTheme="minorEastAsia"/>
          <w:sz w:val="24"/>
          <w:lang w:eastAsia="zh-CN"/>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w:t>
      </w:r>
      <w:r>
        <w:rPr>
          <w:rFonts w:hint="eastAsia" w:ascii="Times New Roman" w:hAnsi="Times New Roman" w:cs="Times New Roman"/>
          <w:sz w:val="24"/>
          <w:lang w:eastAsia="zh-CN"/>
        </w:rPr>
        <w:t>。</w:t>
      </w:r>
    </w:p>
    <w:p w14:paraId="51060166">
      <w:pPr>
        <w:spacing w:line="360" w:lineRule="auto"/>
        <w:ind w:firstLine="435"/>
        <w:rPr>
          <w:rFonts w:ascii="Times New Roman" w:hAnsi="Times New Roman" w:cs="Times New Roman" w:eastAsiaTheme="minorEastAsia"/>
          <w:sz w:val="24"/>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5C31B4A-58A3-4196-A01D-D0B3BA7C544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D8589D7-EDD8-4ABC-899F-9BFDCC2DE1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27C83717-0F06-4899-9242-AD2D6FB331A7}"/>
  </w:font>
  <w:font w:name="@仿宋_GB2312">
    <w:panose1 w:val="02010609030101010101"/>
    <w:charset w:val="86"/>
    <w:family w:val="modern"/>
    <w:pitch w:val="default"/>
    <w:sig w:usb0="00000001" w:usb1="080E0000" w:usb2="00000000" w:usb3="00000000" w:csb0="00040000" w:csb1="00000000"/>
    <w:embedRegular r:id="rId4" w:fontKey="{9E0F35A7-81A4-4BB2-8FB4-5734F4DBE057}"/>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embedRegular r:id="rId5" w:fontKey="{89410D1E-C406-44FF-886C-957C6731D54A}"/>
  </w:font>
  <w:font w:name="Segoe UI Symbol">
    <w:panose1 w:val="020B0502040204020203"/>
    <w:charset w:val="00"/>
    <w:family w:val="swiss"/>
    <w:pitch w:val="default"/>
    <w:sig w:usb0="800001E3" w:usb1="1200FFEF" w:usb2="00040000" w:usb3="04000000" w:csb0="00000001" w:csb1="40000000"/>
    <w:embedRegular r:id="rId6" w:fontKey="{B911B6C4-0443-40E9-AB56-3ED1068ECB9D}"/>
  </w:font>
  <w:font w:name="Wingdings 2">
    <w:panose1 w:val="05020102010507070707"/>
    <w:charset w:val="02"/>
    <w:family w:val="roman"/>
    <w:pitch w:val="default"/>
    <w:sig w:usb0="00000000" w:usb1="00000000" w:usb2="00000000" w:usb3="00000000" w:csb0="80000000" w:csb1="00000000"/>
    <w:embedRegular r:id="rId7" w:fontKey="{D911DFE0-B05B-4529-8962-3DED559D5A43}"/>
  </w:font>
  <w:font w:name="方正小标宋简体">
    <w:panose1 w:val="02000000000000000000"/>
    <w:charset w:val="86"/>
    <w:family w:val="auto"/>
    <w:pitch w:val="default"/>
    <w:sig w:usb0="00000001" w:usb1="08000000" w:usb2="00000000" w:usb3="00000000" w:csb0="00040000" w:csb1="00000000"/>
    <w:embedRegular r:id="rId8" w:fontKey="{8C8C2A67-3515-4B55-A71C-3F48C2DCB2B0}"/>
  </w:font>
  <w:font w:name="国标宋体">
    <w:altName w:val="宋体"/>
    <w:panose1 w:val="02000500000000000000"/>
    <w:charset w:val="86"/>
    <w:family w:val="auto"/>
    <w:pitch w:val="default"/>
    <w:sig w:usb0="00000000" w:usb1="00000000" w:usb2="00000000" w:usb3="00000000" w:csb0="00060007" w:csb1="00000000"/>
    <w:embedRegular r:id="rId9" w:fontKey="{E0176399-502F-4BAB-8DDC-393AC25909D6}"/>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48277">
    <w:pPr>
      <w:pStyle w:val="14"/>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12971CE6">
            <w:pPr>
              <w:pStyle w:val="1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81EDC">
    <w:pPr>
      <w:pBdr>
        <w:bottom w:val="none" w:color="auto" w:sz="0" w:space="1"/>
      </w:pBdr>
      <w:snapToGrid w:val="0"/>
      <w:rPr>
        <w:rFonts w:hint="default" w:ascii="Times New Roman" w:hAnsi="Times New Roman" w:eastAsia="宋体" w:cs="Times New Roman"/>
        <w:sz w:val="21"/>
        <w:szCs w:val="21"/>
        <w:lang w:val="en-US" w:eastAsia="zh-CN"/>
      </w:rPr>
    </w:pPr>
    <w:r>
      <w:rPr>
        <w:rFonts w:hint="eastAsia"/>
        <w:color w:val="000000"/>
        <w:u w:val="single"/>
      </w:rPr>
      <w:drawing>
        <wp:inline distT="0" distB="0" distL="114300" distR="114300">
          <wp:extent cx="508000" cy="309245"/>
          <wp:effectExtent l="0" t="0" r="6350" b="14605"/>
          <wp:docPr id="1" name="图片 1"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18"/>
        <w:szCs w:val="18"/>
        <w:u w:val="single"/>
        <w:lang w:val="en-US" w:eastAsia="zh-CN"/>
      </w:rPr>
      <w:t xml:space="preserve">             </w:t>
    </w:r>
    <w:r>
      <w:rPr>
        <w:rFonts w:hint="eastAsia" w:ascii="Times New Roman" w:hAnsi="Times New Roman" w:eastAsia="宋体" w:cs="Times New Roman"/>
        <w:sz w:val="21"/>
        <w:szCs w:val="21"/>
        <w:u w:val="single"/>
        <w:lang w:eastAsia="zh-CN"/>
      </w:rPr>
      <w:t>合肥政文国际会展管理有限公司</w:t>
    </w:r>
    <w:r>
      <w:rPr>
        <w:rFonts w:hint="eastAsia" w:ascii="Times New Roman" w:hAnsi="Times New Roman" w:eastAsia="宋体" w:cs="Times New Roman"/>
        <w:sz w:val="21"/>
        <w:szCs w:val="21"/>
        <w:u w:val="single"/>
        <w:lang w:val="en-US" w:eastAsia="zh-CN"/>
      </w:rPr>
      <w:t xml:space="preserve">询价文件示范文本             </w:t>
    </w:r>
  </w:p>
  <w:p w14:paraId="16DDAF67">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1A814396"/>
    <w:multiLevelType w:val="singleLevel"/>
    <w:tmpl w:val="1A814396"/>
    <w:lvl w:ilvl="0" w:tentative="0">
      <w:start w:val="1"/>
      <w:numFmt w:val="chineseCounting"/>
      <w:suff w:val="nothing"/>
      <w:lvlText w:val="%1、"/>
      <w:lvlJc w:val="left"/>
      <w:rPr>
        <w:rFonts w:hint="eastAsia"/>
      </w:rPr>
    </w:lvl>
  </w:abstractNum>
  <w:abstractNum w:abstractNumId="3">
    <w:nsid w:val="4C35B6D9"/>
    <w:multiLevelType w:val="singleLevel"/>
    <w:tmpl w:val="4C35B6D9"/>
    <w:lvl w:ilvl="0" w:tentative="0">
      <w:start w:val="3"/>
      <w:numFmt w:val="chineseCounting"/>
      <w:suff w:val="space"/>
      <w:lvlText w:val="第%1章"/>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4Y2EzYmJmY2M4NTA0ZmFhZTAzY2FkM2FkZDEyZDE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166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EE7"/>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27533C"/>
    <w:rsid w:val="01BB7833"/>
    <w:rsid w:val="02EF1E8A"/>
    <w:rsid w:val="03190CB5"/>
    <w:rsid w:val="036B7F9C"/>
    <w:rsid w:val="03AF0B69"/>
    <w:rsid w:val="03BE185C"/>
    <w:rsid w:val="0402799B"/>
    <w:rsid w:val="04620439"/>
    <w:rsid w:val="05AD7DDA"/>
    <w:rsid w:val="05C017DE"/>
    <w:rsid w:val="05EC3108"/>
    <w:rsid w:val="05F63878"/>
    <w:rsid w:val="06257970"/>
    <w:rsid w:val="063901C2"/>
    <w:rsid w:val="07126401"/>
    <w:rsid w:val="07BC60B3"/>
    <w:rsid w:val="07EF52D8"/>
    <w:rsid w:val="07FE2B6F"/>
    <w:rsid w:val="085D1644"/>
    <w:rsid w:val="08677226"/>
    <w:rsid w:val="094A1BE5"/>
    <w:rsid w:val="09661C3D"/>
    <w:rsid w:val="097D52B6"/>
    <w:rsid w:val="09B554AF"/>
    <w:rsid w:val="0A943317"/>
    <w:rsid w:val="0A9B3E89"/>
    <w:rsid w:val="0C175FAD"/>
    <w:rsid w:val="0D3937FA"/>
    <w:rsid w:val="0D6214AA"/>
    <w:rsid w:val="0DAB22C6"/>
    <w:rsid w:val="0DE32BC8"/>
    <w:rsid w:val="0E8D07A9"/>
    <w:rsid w:val="0F2271EE"/>
    <w:rsid w:val="0F360E40"/>
    <w:rsid w:val="0F824086"/>
    <w:rsid w:val="10354C54"/>
    <w:rsid w:val="10AF2C58"/>
    <w:rsid w:val="11554019"/>
    <w:rsid w:val="119D0C6A"/>
    <w:rsid w:val="11C6025A"/>
    <w:rsid w:val="127759F8"/>
    <w:rsid w:val="129462CC"/>
    <w:rsid w:val="12DB7D35"/>
    <w:rsid w:val="12F268C3"/>
    <w:rsid w:val="13397BCE"/>
    <w:rsid w:val="133C5579"/>
    <w:rsid w:val="13966A26"/>
    <w:rsid w:val="1454128C"/>
    <w:rsid w:val="14717EAE"/>
    <w:rsid w:val="165B081F"/>
    <w:rsid w:val="168B36FF"/>
    <w:rsid w:val="17356927"/>
    <w:rsid w:val="177734DC"/>
    <w:rsid w:val="187C78C4"/>
    <w:rsid w:val="18B232E6"/>
    <w:rsid w:val="18F71640"/>
    <w:rsid w:val="19837B6D"/>
    <w:rsid w:val="19A4731C"/>
    <w:rsid w:val="19AE0774"/>
    <w:rsid w:val="1A277D03"/>
    <w:rsid w:val="1A357A52"/>
    <w:rsid w:val="1A6A3C67"/>
    <w:rsid w:val="1A6B5E42"/>
    <w:rsid w:val="1A756CC1"/>
    <w:rsid w:val="1AF96A3E"/>
    <w:rsid w:val="1B7323F2"/>
    <w:rsid w:val="1BD6378F"/>
    <w:rsid w:val="1C185B56"/>
    <w:rsid w:val="1C1F6775"/>
    <w:rsid w:val="1C295FB5"/>
    <w:rsid w:val="1C8C20A0"/>
    <w:rsid w:val="1C9D605B"/>
    <w:rsid w:val="1CDB6B83"/>
    <w:rsid w:val="1D8B6F27"/>
    <w:rsid w:val="1D970CFC"/>
    <w:rsid w:val="1DAA2521"/>
    <w:rsid w:val="1FB83270"/>
    <w:rsid w:val="204607B7"/>
    <w:rsid w:val="20E74328"/>
    <w:rsid w:val="21780E44"/>
    <w:rsid w:val="23B75C54"/>
    <w:rsid w:val="241E5CD3"/>
    <w:rsid w:val="245F009A"/>
    <w:rsid w:val="250F1AC0"/>
    <w:rsid w:val="25113BF1"/>
    <w:rsid w:val="25164BFC"/>
    <w:rsid w:val="253D03DB"/>
    <w:rsid w:val="26522036"/>
    <w:rsid w:val="270F224B"/>
    <w:rsid w:val="275859A0"/>
    <w:rsid w:val="2783171D"/>
    <w:rsid w:val="282633A8"/>
    <w:rsid w:val="28C02D0C"/>
    <w:rsid w:val="295233D1"/>
    <w:rsid w:val="296F714B"/>
    <w:rsid w:val="29E5020D"/>
    <w:rsid w:val="29F47AFC"/>
    <w:rsid w:val="2B74267D"/>
    <w:rsid w:val="2C0C36EB"/>
    <w:rsid w:val="2C247DAC"/>
    <w:rsid w:val="2CA23219"/>
    <w:rsid w:val="2CC14B77"/>
    <w:rsid w:val="2D030B50"/>
    <w:rsid w:val="2D8A43D9"/>
    <w:rsid w:val="2F464330"/>
    <w:rsid w:val="2F733923"/>
    <w:rsid w:val="2F760751"/>
    <w:rsid w:val="2FE36557"/>
    <w:rsid w:val="300B63B9"/>
    <w:rsid w:val="31307046"/>
    <w:rsid w:val="31A10FBD"/>
    <w:rsid w:val="31EB11BF"/>
    <w:rsid w:val="325B63D6"/>
    <w:rsid w:val="32D57EA5"/>
    <w:rsid w:val="33075DFB"/>
    <w:rsid w:val="33263D6A"/>
    <w:rsid w:val="33AA1331"/>
    <w:rsid w:val="344057F2"/>
    <w:rsid w:val="35101668"/>
    <w:rsid w:val="35A43BDE"/>
    <w:rsid w:val="35CF4AD8"/>
    <w:rsid w:val="36435A6D"/>
    <w:rsid w:val="36716136"/>
    <w:rsid w:val="36E0150E"/>
    <w:rsid w:val="371F3098"/>
    <w:rsid w:val="37824373"/>
    <w:rsid w:val="379C71E3"/>
    <w:rsid w:val="379E5B30"/>
    <w:rsid w:val="39143BC9"/>
    <w:rsid w:val="39B74BDE"/>
    <w:rsid w:val="39EE5CF0"/>
    <w:rsid w:val="3A0D2667"/>
    <w:rsid w:val="3A881CA1"/>
    <w:rsid w:val="3AA964FB"/>
    <w:rsid w:val="3B3B6D13"/>
    <w:rsid w:val="3C4542ED"/>
    <w:rsid w:val="3CE86A81"/>
    <w:rsid w:val="3CF9040D"/>
    <w:rsid w:val="3D597924"/>
    <w:rsid w:val="3E4405D4"/>
    <w:rsid w:val="3E79027E"/>
    <w:rsid w:val="3F53046B"/>
    <w:rsid w:val="3F8A520A"/>
    <w:rsid w:val="40362758"/>
    <w:rsid w:val="40780A59"/>
    <w:rsid w:val="41E06866"/>
    <w:rsid w:val="42784CF1"/>
    <w:rsid w:val="42905C39"/>
    <w:rsid w:val="42DB20E4"/>
    <w:rsid w:val="437B6846"/>
    <w:rsid w:val="446F7A2D"/>
    <w:rsid w:val="4488246F"/>
    <w:rsid w:val="45696E85"/>
    <w:rsid w:val="45EB5659"/>
    <w:rsid w:val="46492C2C"/>
    <w:rsid w:val="46FC1A4C"/>
    <w:rsid w:val="471634EF"/>
    <w:rsid w:val="49581C51"/>
    <w:rsid w:val="4A7632D0"/>
    <w:rsid w:val="4ACF1226"/>
    <w:rsid w:val="4B46598C"/>
    <w:rsid w:val="4BDA4326"/>
    <w:rsid w:val="4C741736"/>
    <w:rsid w:val="4D845295"/>
    <w:rsid w:val="4DB311C4"/>
    <w:rsid w:val="4DDE00FE"/>
    <w:rsid w:val="4E920EE8"/>
    <w:rsid w:val="4EA529C9"/>
    <w:rsid w:val="4F806F93"/>
    <w:rsid w:val="503B1382"/>
    <w:rsid w:val="51AD459B"/>
    <w:rsid w:val="51AE6039"/>
    <w:rsid w:val="52F82D96"/>
    <w:rsid w:val="53382FEB"/>
    <w:rsid w:val="536803A3"/>
    <w:rsid w:val="547B4EA9"/>
    <w:rsid w:val="54866DF9"/>
    <w:rsid w:val="54D47B64"/>
    <w:rsid w:val="54DE09E3"/>
    <w:rsid w:val="550F7B55"/>
    <w:rsid w:val="55122FD8"/>
    <w:rsid w:val="55130BC4"/>
    <w:rsid w:val="554271C4"/>
    <w:rsid w:val="5579695E"/>
    <w:rsid w:val="55926D29"/>
    <w:rsid w:val="55BA1450"/>
    <w:rsid w:val="57572CCF"/>
    <w:rsid w:val="57D8796C"/>
    <w:rsid w:val="57DF519E"/>
    <w:rsid w:val="58E53EC8"/>
    <w:rsid w:val="58F710B6"/>
    <w:rsid w:val="599B1268"/>
    <w:rsid w:val="59E766FB"/>
    <w:rsid w:val="5AD54636"/>
    <w:rsid w:val="5AF2460E"/>
    <w:rsid w:val="5C1523E9"/>
    <w:rsid w:val="5C3F2EED"/>
    <w:rsid w:val="5C845E51"/>
    <w:rsid w:val="5C8968EE"/>
    <w:rsid w:val="5CD874B5"/>
    <w:rsid w:val="5CF62206"/>
    <w:rsid w:val="5D706898"/>
    <w:rsid w:val="5DB04EE7"/>
    <w:rsid w:val="5DCA244C"/>
    <w:rsid w:val="5E782B2A"/>
    <w:rsid w:val="5E926103"/>
    <w:rsid w:val="5EEE79C8"/>
    <w:rsid w:val="5F1C412F"/>
    <w:rsid w:val="5F596331"/>
    <w:rsid w:val="5FBB7954"/>
    <w:rsid w:val="60033FE8"/>
    <w:rsid w:val="60AC5E39"/>
    <w:rsid w:val="60B151FE"/>
    <w:rsid w:val="60EF79B1"/>
    <w:rsid w:val="61DD0F07"/>
    <w:rsid w:val="628E1C9B"/>
    <w:rsid w:val="62B264A4"/>
    <w:rsid w:val="63716633"/>
    <w:rsid w:val="642323F6"/>
    <w:rsid w:val="64586600"/>
    <w:rsid w:val="64630F05"/>
    <w:rsid w:val="654B14AA"/>
    <w:rsid w:val="654E74BF"/>
    <w:rsid w:val="65576BE9"/>
    <w:rsid w:val="65B67155"/>
    <w:rsid w:val="6659611C"/>
    <w:rsid w:val="670F7122"/>
    <w:rsid w:val="67892A30"/>
    <w:rsid w:val="67B8418F"/>
    <w:rsid w:val="67ED487A"/>
    <w:rsid w:val="688B291E"/>
    <w:rsid w:val="68F55EA4"/>
    <w:rsid w:val="696B5954"/>
    <w:rsid w:val="6A172C0B"/>
    <w:rsid w:val="6AF723A7"/>
    <w:rsid w:val="6B2A659D"/>
    <w:rsid w:val="6B2D710A"/>
    <w:rsid w:val="6B3C21FD"/>
    <w:rsid w:val="6B486391"/>
    <w:rsid w:val="6BA37E39"/>
    <w:rsid w:val="6BE566A3"/>
    <w:rsid w:val="6CC45353"/>
    <w:rsid w:val="6CDE4879"/>
    <w:rsid w:val="6D813CF1"/>
    <w:rsid w:val="6E1A0886"/>
    <w:rsid w:val="6E217E67"/>
    <w:rsid w:val="6EC16F54"/>
    <w:rsid w:val="7016507D"/>
    <w:rsid w:val="70205EFC"/>
    <w:rsid w:val="70781C06"/>
    <w:rsid w:val="70790AE9"/>
    <w:rsid w:val="70931B8F"/>
    <w:rsid w:val="71B0505E"/>
    <w:rsid w:val="71E06D6B"/>
    <w:rsid w:val="72750781"/>
    <w:rsid w:val="736331BE"/>
    <w:rsid w:val="73A40BF2"/>
    <w:rsid w:val="73E35E45"/>
    <w:rsid w:val="74561EEC"/>
    <w:rsid w:val="748F408B"/>
    <w:rsid w:val="74F80B83"/>
    <w:rsid w:val="752B5127"/>
    <w:rsid w:val="75387844"/>
    <w:rsid w:val="76206C56"/>
    <w:rsid w:val="766F7295"/>
    <w:rsid w:val="76D11CFE"/>
    <w:rsid w:val="76D50550"/>
    <w:rsid w:val="772F044F"/>
    <w:rsid w:val="77324D59"/>
    <w:rsid w:val="77835BFA"/>
    <w:rsid w:val="77F7349B"/>
    <w:rsid w:val="78267E28"/>
    <w:rsid w:val="783A06B1"/>
    <w:rsid w:val="78435456"/>
    <w:rsid w:val="78520C1D"/>
    <w:rsid w:val="786975DD"/>
    <w:rsid w:val="78915BE9"/>
    <w:rsid w:val="789B3A01"/>
    <w:rsid w:val="78B00425"/>
    <w:rsid w:val="795301B7"/>
    <w:rsid w:val="7A5B64AE"/>
    <w:rsid w:val="7A6F1F5A"/>
    <w:rsid w:val="7AAF0711"/>
    <w:rsid w:val="7ACD0A2E"/>
    <w:rsid w:val="7B022DCE"/>
    <w:rsid w:val="7CC41754"/>
    <w:rsid w:val="7CD00841"/>
    <w:rsid w:val="7D0D4DC3"/>
    <w:rsid w:val="7D1B3CD3"/>
    <w:rsid w:val="7D511DEB"/>
    <w:rsid w:val="7DB87774"/>
    <w:rsid w:val="7E20414C"/>
    <w:rsid w:val="7E222372"/>
    <w:rsid w:val="7EED5CFF"/>
    <w:rsid w:val="7EF96296"/>
    <w:rsid w:val="7F420B28"/>
    <w:rsid w:val="7FA77AA0"/>
    <w:rsid w:val="7FE75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7"/>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9"/>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4"/>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5">
    <w:name w:val="Default Paragraph Font"/>
    <w:autoRedefine/>
    <w:semiHidden/>
    <w:qFormat/>
    <w:uiPriority w:val="0"/>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6"/>
    <w:autoRedefine/>
    <w:qFormat/>
    <w:uiPriority w:val="0"/>
    <w:pPr>
      <w:jc w:val="left"/>
    </w:pPr>
  </w:style>
  <w:style w:type="paragraph" w:styleId="8">
    <w:name w:val="Body Text"/>
    <w:basedOn w:val="1"/>
    <w:next w:val="1"/>
    <w:autoRedefine/>
    <w:qFormat/>
    <w:uiPriority w:val="0"/>
    <w:pPr>
      <w:spacing w:after="120" w:afterLines="0" w:afterAutospacing="0"/>
    </w:pPr>
  </w:style>
  <w:style w:type="paragraph" w:styleId="9">
    <w:name w:val="Body Text Indent"/>
    <w:basedOn w:val="1"/>
    <w:next w:val="1"/>
    <w:autoRedefine/>
    <w:semiHidden/>
    <w:unhideWhenUsed/>
    <w:qFormat/>
    <w:uiPriority w:val="0"/>
    <w:pPr>
      <w:spacing w:after="120"/>
      <w:ind w:left="420" w:leftChars="200"/>
    </w:pPr>
  </w:style>
  <w:style w:type="paragraph" w:styleId="10">
    <w:name w:val="toc 3"/>
    <w:basedOn w:val="1"/>
    <w:next w:val="1"/>
    <w:autoRedefine/>
    <w:qFormat/>
    <w:uiPriority w:val="0"/>
    <w:pPr>
      <w:ind w:left="840" w:leftChars="400"/>
    </w:pPr>
  </w:style>
  <w:style w:type="paragraph" w:styleId="11">
    <w:name w:val="Plain Text"/>
    <w:basedOn w:val="1"/>
    <w:link w:val="35"/>
    <w:autoRedefine/>
    <w:qFormat/>
    <w:uiPriority w:val="0"/>
    <w:rPr>
      <w:rFonts w:ascii="宋体" w:hAnsi="Courier New"/>
    </w:rPr>
  </w:style>
  <w:style w:type="paragraph" w:styleId="12">
    <w:name w:val="Date"/>
    <w:basedOn w:val="1"/>
    <w:next w:val="1"/>
    <w:link w:val="42"/>
    <w:autoRedefine/>
    <w:qFormat/>
    <w:uiPriority w:val="0"/>
    <w:pPr>
      <w:ind w:left="100" w:leftChars="2500"/>
    </w:pPr>
  </w:style>
  <w:style w:type="paragraph" w:styleId="13">
    <w:name w:val="Balloon Text"/>
    <w:basedOn w:val="1"/>
    <w:link w:val="29"/>
    <w:autoRedefine/>
    <w:qFormat/>
    <w:uiPriority w:val="0"/>
    <w:rPr>
      <w:sz w:val="18"/>
    </w:rPr>
  </w:style>
  <w:style w:type="paragraph" w:styleId="14">
    <w:name w:val="footer"/>
    <w:basedOn w:val="1"/>
    <w:link w:val="34"/>
    <w:autoRedefine/>
    <w:qFormat/>
    <w:uiPriority w:val="0"/>
    <w:pPr>
      <w:tabs>
        <w:tab w:val="center" w:pos="4153"/>
        <w:tab w:val="right" w:pos="8306"/>
      </w:tabs>
      <w:snapToGrid w:val="0"/>
      <w:jc w:val="left"/>
    </w:pPr>
    <w:rPr>
      <w:sz w:val="18"/>
    </w:rPr>
  </w:style>
  <w:style w:type="paragraph" w:styleId="15">
    <w:name w:val="envelope return"/>
    <w:basedOn w:val="1"/>
    <w:qFormat/>
    <w:uiPriority w:val="0"/>
  </w:style>
  <w:style w:type="paragraph" w:styleId="16">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0">
    <w:name w:val="index 1"/>
    <w:basedOn w:val="1"/>
    <w:next w:val="1"/>
    <w:autoRedefine/>
    <w:qFormat/>
    <w:uiPriority w:val="0"/>
  </w:style>
  <w:style w:type="paragraph" w:styleId="21">
    <w:name w:val="Body Text First Indent"/>
    <w:basedOn w:val="8"/>
    <w:autoRedefine/>
    <w:qFormat/>
    <w:uiPriority w:val="0"/>
    <w:pPr>
      <w:ind w:firstLine="420" w:firstLineChars="100"/>
    </w:pPr>
  </w:style>
  <w:style w:type="paragraph" w:styleId="22">
    <w:name w:val="Body Text First Indent 2"/>
    <w:basedOn w:val="9"/>
    <w:autoRedefine/>
    <w:semiHidden/>
    <w:unhideWhenUsed/>
    <w:qFormat/>
    <w:uiPriority w:val="99"/>
    <w:pPr>
      <w:ind w:firstLine="420" w:firstLineChars="200"/>
    </w:pPr>
  </w:style>
  <w:style w:type="table" w:styleId="24">
    <w:name w:val="Table Grid"/>
    <w:basedOn w:val="23"/>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autoRedefine/>
    <w:qFormat/>
    <w:uiPriority w:val="0"/>
    <w:rPr>
      <w:b/>
    </w:rPr>
  </w:style>
  <w:style w:type="character" w:styleId="27">
    <w:name w:val="Emphasis"/>
    <w:basedOn w:val="25"/>
    <w:autoRedefine/>
    <w:qFormat/>
    <w:uiPriority w:val="0"/>
    <w:rPr>
      <w:i/>
    </w:rPr>
  </w:style>
  <w:style w:type="character" w:styleId="28">
    <w:name w:val="Hyperlink"/>
    <w:basedOn w:val="25"/>
    <w:autoRedefine/>
    <w:qFormat/>
    <w:uiPriority w:val="0"/>
    <w:rPr>
      <w:color w:val="0000FF"/>
      <w:u w:val="single"/>
    </w:rPr>
  </w:style>
  <w:style w:type="character" w:customStyle="1" w:styleId="29">
    <w:name w:val="批注框文本 字符"/>
    <w:link w:val="13"/>
    <w:autoRedefine/>
    <w:semiHidden/>
    <w:qFormat/>
    <w:uiPriority w:val="99"/>
    <w:rPr>
      <w:sz w:val="18"/>
    </w:rPr>
  </w:style>
  <w:style w:type="paragraph" w:customStyle="1" w:styleId="30">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1">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2">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字符"/>
    <w:link w:val="16"/>
    <w:autoRedefine/>
    <w:qFormat/>
    <w:uiPriority w:val="0"/>
    <w:rPr>
      <w:sz w:val="18"/>
    </w:rPr>
  </w:style>
  <w:style w:type="character" w:customStyle="1" w:styleId="34">
    <w:name w:val="页脚 字符"/>
    <w:link w:val="14"/>
    <w:autoRedefine/>
    <w:qFormat/>
    <w:uiPriority w:val="99"/>
    <w:rPr>
      <w:sz w:val="18"/>
    </w:rPr>
  </w:style>
  <w:style w:type="character" w:customStyle="1" w:styleId="35">
    <w:name w:val="纯文本 字符"/>
    <w:link w:val="11"/>
    <w:autoRedefine/>
    <w:qFormat/>
    <w:uiPriority w:val="0"/>
    <w:rPr>
      <w:rFonts w:ascii="宋体" w:hAnsi="Courier New"/>
    </w:rPr>
  </w:style>
  <w:style w:type="character" w:customStyle="1" w:styleId="36">
    <w:name w:val="纯文本 字符1"/>
    <w:basedOn w:val="25"/>
    <w:autoRedefine/>
    <w:semiHidden/>
    <w:qFormat/>
    <w:uiPriority w:val="99"/>
    <w:rPr>
      <w:rFonts w:hAnsi="Courier New" w:cs="Courier New" w:asciiTheme="minorEastAsia"/>
      <w:szCs w:val="20"/>
    </w:rPr>
  </w:style>
  <w:style w:type="character" w:customStyle="1" w:styleId="37">
    <w:name w:val="未处理的提及1"/>
    <w:basedOn w:val="25"/>
    <w:autoRedefine/>
    <w:semiHidden/>
    <w:unhideWhenUsed/>
    <w:qFormat/>
    <w:uiPriority w:val="99"/>
    <w:rPr>
      <w:color w:val="605E5C"/>
      <w:shd w:val="clear" w:color="auto" w:fill="E1DFDD"/>
    </w:rPr>
  </w:style>
  <w:style w:type="paragraph" w:styleId="38">
    <w:name w:val="List Paragraph"/>
    <w:basedOn w:val="1"/>
    <w:autoRedefine/>
    <w:qFormat/>
    <w:uiPriority w:val="34"/>
    <w:pPr>
      <w:ind w:firstLine="420" w:firstLineChars="200"/>
    </w:pPr>
  </w:style>
  <w:style w:type="paragraph" w:customStyle="1" w:styleId="39">
    <w:name w:val="Char Char Char Char Char Char Char1 Char"/>
    <w:basedOn w:val="1"/>
    <w:autoRedefine/>
    <w:qFormat/>
    <w:uiPriority w:val="0"/>
    <w:rPr>
      <w:rFonts w:ascii="Arial" w:hAnsi="Arial" w:eastAsia="宋体" w:cs="Arial"/>
      <w:sz w:val="24"/>
    </w:rPr>
  </w:style>
  <w:style w:type="table" w:customStyle="1" w:styleId="40">
    <w:name w:val="网格表 1 浅色1"/>
    <w:basedOn w:val="23"/>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autoRedefine/>
    <w:semiHidden/>
    <w:qFormat/>
    <w:uiPriority w:val="99"/>
    <w:rPr>
      <w:rFonts w:ascii="@仿宋_GB2312" w:hAnsi="@仿宋_GB2312" w:eastAsia="@仿宋_GB2312" w:cs="@仿宋_GB2312"/>
      <w:szCs w:val="20"/>
    </w:rPr>
  </w:style>
  <w:style w:type="character" w:customStyle="1" w:styleId="42">
    <w:name w:val="日期 字符1"/>
    <w:link w:val="12"/>
    <w:autoRedefine/>
    <w:qFormat/>
    <w:uiPriority w:val="0"/>
  </w:style>
  <w:style w:type="character" w:customStyle="1" w:styleId="43">
    <w:name w:val="纯文本 Char1"/>
    <w:link w:val="44"/>
    <w:autoRedefine/>
    <w:qFormat/>
    <w:locked/>
    <w:uiPriority w:val="0"/>
    <w:rPr>
      <w:rFonts w:ascii="Arial" w:hAnsi="Arial" w:eastAsia="Arial"/>
      <w:kern w:val="2"/>
      <w:sz w:val="21"/>
      <w:lang w:val="en-US" w:eastAsia="zh-CN" w:bidi="ar-SA"/>
    </w:rPr>
  </w:style>
  <w:style w:type="paragraph" w:customStyle="1" w:styleId="44">
    <w:name w:val="纯文本1"/>
    <w:basedOn w:val="1"/>
    <w:link w:val="43"/>
    <w:autoRedefine/>
    <w:qFormat/>
    <w:uiPriority w:val="0"/>
    <w:rPr>
      <w:rFonts w:ascii="Arial" w:hAnsi="Arial" w:eastAsia="Arial" w:cstheme="minorBidi"/>
      <w:szCs w:val="22"/>
    </w:rPr>
  </w:style>
  <w:style w:type="character" w:customStyle="1" w:styleId="45">
    <w:name w:val="批注文字 Char"/>
    <w:basedOn w:val="25"/>
    <w:autoRedefine/>
    <w:semiHidden/>
    <w:qFormat/>
    <w:uiPriority w:val="99"/>
    <w:rPr>
      <w:rFonts w:ascii="@仿宋_GB2312" w:hAnsi="@仿宋_GB2312" w:eastAsia="@仿宋_GB2312" w:cs="@仿宋_GB2312"/>
      <w:szCs w:val="20"/>
    </w:rPr>
  </w:style>
  <w:style w:type="character" w:customStyle="1" w:styleId="46">
    <w:name w:val="批注文字 字符"/>
    <w:link w:val="7"/>
    <w:autoRedefine/>
    <w:qFormat/>
    <w:uiPriority w:val="0"/>
  </w:style>
  <w:style w:type="character" w:customStyle="1" w:styleId="47">
    <w:name w:val="标题 1 字符"/>
    <w:link w:val="2"/>
    <w:autoRedefine/>
    <w:qFormat/>
    <w:uiPriority w:val="9"/>
    <w:rPr>
      <w:b/>
      <w:kern w:val="44"/>
      <w:sz w:val="44"/>
    </w:rPr>
  </w:style>
  <w:style w:type="paragraph" w:customStyle="1" w:styleId="48">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字符"/>
    <w:link w:val="4"/>
    <w:autoRedefine/>
    <w:semiHidden/>
    <w:qFormat/>
    <w:uiPriority w:val="9"/>
    <w:rPr>
      <w:b/>
      <w:sz w:val="32"/>
    </w:rPr>
  </w:style>
  <w:style w:type="character" w:customStyle="1" w:styleId="50">
    <w:name w:val="fontstyle01"/>
    <w:basedOn w:val="25"/>
    <w:autoRedefine/>
    <w:qFormat/>
    <w:uiPriority w:val="0"/>
    <w:rPr>
      <w:rFonts w:hint="eastAsia" w:ascii="宋体" w:hAnsi="宋体" w:eastAsia="宋体"/>
      <w:color w:val="000000"/>
      <w:sz w:val="22"/>
      <w:szCs w:val="22"/>
    </w:rPr>
  </w:style>
  <w:style w:type="character" w:customStyle="1" w:styleId="51">
    <w:name w:val="fontstyle21"/>
    <w:basedOn w:val="25"/>
    <w:autoRedefine/>
    <w:qFormat/>
    <w:uiPriority w:val="0"/>
    <w:rPr>
      <w:rFonts w:hint="default" w:ascii="TimesNewRomanPSMT" w:hAnsi="TimesNewRomanPSMT"/>
      <w:color w:val="000000"/>
      <w:sz w:val="22"/>
      <w:szCs w:val="22"/>
    </w:rPr>
  </w:style>
  <w:style w:type="character" w:customStyle="1" w:styleId="52">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5"/>
    <w:autoRedefine/>
    <w:semiHidden/>
    <w:qFormat/>
    <w:uiPriority w:val="9"/>
    <w:rPr>
      <w:rFonts w:asciiTheme="majorHAnsi" w:hAnsiTheme="majorHAnsi" w:eastAsiaTheme="majorEastAsia" w:cstheme="majorBidi"/>
      <w:b/>
      <w:bCs/>
      <w:sz w:val="28"/>
      <w:szCs w:val="28"/>
    </w:rPr>
  </w:style>
  <w:style w:type="character" w:customStyle="1" w:styleId="54">
    <w:name w:val="标题 4 字符1"/>
    <w:link w:val="5"/>
    <w:autoRedefine/>
    <w:qFormat/>
    <w:uiPriority w:val="0"/>
    <w:rPr>
      <w:rFonts w:ascii="Arial" w:hAnsi="Arial" w:eastAsia="黑体"/>
      <w:b/>
      <w:sz w:val="28"/>
    </w:rPr>
  </w:style>
  <w:style w:type="paragraph" w:customStyle="1" w:styleId="55">
    <w:name w:val="普通 (Web)"/>
    <w:basedOn w:val="1"/>
    <w:autoRedefine/>
    <w:qFormat/>
    <w:uiPriority w:val="0"/>
    <w:pPr>
      <w:widowControl/>
      <w:spacing w:before="100" w:beforeAutospacing="1" w:after="100" w:afterAutospacing="1"/>
      <w:jc w:val="left"/>
    </w:pPr>
    <w:rPr>
      <w:rFonts w:cs="Times New Roman"/>
      <w:sz w:val="24"/>
      <w:szCs w:val="24"/>
    </w:rPr>
  </w:style>
  <w:style w:type="paragraph" w:customStyle="1" w:styleId="56">
    <w:name w:val="列出段落1"/>
    <w:basedOn w:val="1"/>
    <w:qFormat/>
    <w:uiPriority w:val="34"/>
    <w:pPr>
      <w:ind w:firstLine="420" w:firstLineChars="200"/>
    </w:pPr>
    <w:rPr>
      <w:rFonts w:ascii="Calibri" w:hAnsi="Calibri" w:eastAsia="宋体" w:cs="Times New Roman"/>
    </w:rPr>
  </w:style>
  <w:style w:type="paragraph" w:customStyle="1" w:styleId="57">
    <w:name w:val="Body text|1"/>
    <w:qFormat/>
    <w:uiPriority w:val="0"/>
    <w:pPr>
      <w:widowControl w:val="0"/>
      <w:spacing w:line="425" w:lineRule="auto"/>
      <w:ind w:firstLine="400"/>
    </w:pPr>
    <w:rPr>
      <w:rFonts w:ascii="宋体" w:hAnsi="宋体" w:eastAsia="宋体" w:cs="宋体"/>
      <w:color w:val="000000"/>
      <w:sz w:val="26"/>
      <w:szCs w:val="26"/>
      <w:lang w:val="zh-TW" w:eastAsia="zh-TW" w:bidi="zh-TW"/>
    </w:rPr>
  </w:style>
  <w:style w:type="paragraph" w:customStyle="1" w:styleId="58">
    <w:name w:val="首行缩进"/>
    <w:basedOn w:val="1"/>
    <w:qFormat/>
    <w:uiPriority w:val="99"/>
    <w:pPr>
      <w:spacing w:line="360" w:lineRule="auto"/>
      <w:ind w:firstLine="480" w:firstLineChars="200"/>
    </w:pPr>
    <w:rPr>
      <w:rFonts w:ascii="Calibri" w:hAnsi="Calibri"/>
      <w:sz w:val="24"/>
      <w:lang w:val="zh-CN"/>
    </w:rPr>
  </w:style>
  <w:style w:type="paragraph" w:customStyle="1" w:styleId="59">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31</Pages>
  <Words>188</Words>
  <Characters>210</Characters>
  <Lines>180</Lines>
  <Paragraphs>50</Paragraphs>
  <TotalTime>70</TotalTime>
  <ScaleCrop>false</ScaleCrop>
  <LinksUpToDate>false</LinksUpToDate>
  <CharactersWithSpaces>242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袁恋如此</cp:lastModifiedBy>
  <cp:lastPrinted>2022-06-23T01:57:00Z</cp:lastPrinted>
  <dcterms:modified xsi:type="dcterms:W3CDTF">2025-12-01T06:27:50Z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7E9D952B1FCF45CE929907D2E45286C4_12</vt:lpwstr>
  </property>
</Properties>
</file>